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BBE" w:rsidRDefault="00A84BBE" w:rsidP="00A84BBE">
      <w:pPr>
        <w:ind w:left="2832" w:firstLine="708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TESIS 4-2019</w:t>
      </w:r>
    </w:p>
    <w:p w:rsidR="00A84BBE" w:rsidRPr="00996904" w:rsidRDefault="00A84BBE" w:rsidP="00A84BBE">
      <w:pPr>
        <w:rPr>
          <w:rFonts w:ascii="Arial" w:hAnsi="Arial" w:cs="Arial"/>
          <w:sz w:val="24"/>
          <w:szCs w:val="24"/>
        </w:rPr>
      </w:pPr>
      <w:r w:rsidRPr="00996904">
        <w:rPr>
          <w:rFonts w:ascii="Arial" w:hAnsi="Arial" w:cs="Arial"/>
          <w:b/>
          <w:sz w:val="24"/>
          <w:szCs w:val="24"/>
        </w:rPr>
        <w:t xml:space="preserve">AUDIENCIA PREVIA Y DE CONCILIACIÓN. OBLIGACIÓN DEL JUEZ DE LO FAMILIAR DE LLEVAR A ACABO SU DESAHOGO, PREVIO AL DICTADO DE LA SENTENCIA, CUANDO LA PROPUESTA DE CONVENIO CONTRAVENGA LA LEY, AUN CUANDO NO EXISTA OPOSICIÓN POR PARTE DE LA DEMANDADA.-  </w:t>
      </w:r>
      <w:r w:rsidRPr="00996904">
        <w:rPr>
          <w:rFonts w:ascii="Arial" w:hAnsi="Arial" w:cs="Arial"/>
          <w:sz w:val="24"/>
          <w:szCs w:val="24"/>
        </w:rPr>
        <w:t>De una interpretación sistemática de los</w:t>
      </w:r>
      <w:r w:rsidRPr="00996904">
        <w:rPr>
          <w:rFonts w:ascii="Arial" w:hAnsi="Arial" w:cs="Arial"/>
          <w:b/>
          <w:sz w:val="24"/>
          <w:szCs w:val="24"/>
        </w:rPr>
        <w:t xml:space="preserve"> </w:t>
      </w:r>
      <w:r w:rsidRPr="00996904">
        <w:rPr>
          <w:rFonts w:ascii="Arial" w:hAnsi="Arial" w:cs="Arial"/>
          <w:sz w:val="24"/>
          <w:szCs w:val="24"/>
        </w:rPr>
        <w:t xml:space="preserve">artículos 86, 86 Bis., 87, 89, 91, 93 y 96 del Código Familiar para el Estado; y 516 Bis, 561 Ter, 561 </w:t>
      </w:r>
      <w:proofErr w:type="spellStart"/>
      <w:r w:rsidRPr="00996904">
        <w:rPr>
          <w:rFonts w:ascii="Arial" w:hAnsi="Arial" w:cs="Arial"/>
          <w:sz w:val="24"/>
          <w:szCs w:val="24"/>
        </w:rPr>
        <w:t>Quater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, 561 </w:t>
      </w:r>
      <w:proofErr w:type="spellStart"/>
      <w:r w:rsidRPr="00996904">
        <w:rPr>
          <w:rFonts w:ascii="Arial" w:hAnsi="Arial" w:cs="Arial"/>
          <w:sz w:val="24"/>
          <w:szCs w:val="24"/>
        </w:rPr>
        <w:t>Quinque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, 561 </w:t>
      </w:r>
      <w:proofErr w:type="spellStart"/>
      <w:r w:rsidRPr="00996904">
        <w:rPr>
          <w:rFonts w:ascii="Arial" w:hAnsi="Arial" w:cs="Arial"/>
          <w:sz w:val="24"/>
          <w:szCs w:val="24"/>
        </w:rPr>
        <w:t>Sexties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, 561 </w:t>
      </w:r>
      <w:proofErr w:type="spellStart"/>
      <w:r w:rsidRPr="00996904">
        <w:rPr>
          <w:rFonts w:ascii="Arial" w:hAnsi="Arial" w:cs="Arial"/>
          <w:sz w:val="24"/>
          <w:szCs w:val="24"/>
        </w:rPr>
        <w:t>Septies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, 561 </w:t>
      </w:r>
      <w:proofErr w:type="spellStart"/>
      <w:r w:rsidRPr="00996904">
        <w:rPr>
          <w:rFonts w:ascii="Arial" w:hAnsi="Arial" w:cs="Arial"/>
          <w:sz w:val="24"/>
          <w:szCs w:val="24"/>
        </w:rPr>
        <w:t>Octies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, 561 </w:t>
      </w:r>
      <w:proofErr w:type="spellStart"/>
      <w:r w:rsidRPr="00996904">
        <w:rPr>
          <w:rFonts w:ascii="Arial" w:hAnsi="Arial" w:cs="Arial"/>
          <w:sz w:val="24"/>
          <w:szCs w:val="24"/>
        </w:rPr>
        <w:t>Nonies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 y 561 </w:t>
      </w:r>
      <w:proofErr w:type="spellStart"/>
      <w:r w:rsidRPr="00996904">
        <w:rPr>
          <w:rFonts w:ascii="Arial" w:hAnsi="Arial" w:cs="Arial"/>
          <w:sz w:val="24"/>
          <w:szCs w:val="24"/>
        </w:rPr>
        <w:t>Decies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 del Código de Procedimientos Civiles para el Estado, que regulan el procedimiento de divorcio </w:t>
      </w:r>
      <w:proofErr w:type="spellStart"/>
      <w:r w:rsidRPr="00996904">
        <w:rPr>
          <w:rFonts w:ascii="Arial" w:hAnsi="Arial" w:cs="Arial"/>
          <w:sz w:val="24"/>
          <w:szCs w:val="24"/>
        </w:rPr>
        <w:t>incausado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, se desprende que el Juez de lo Familiar tiene como imperativo, previo al dictado de la sentencia de divorcio, llevar a cabo el desahogo de una audiencia previa y de conciliación entre las partes en juicio, en los casos siguientes: a).- Cuando la propuesta de convenio formulada por el actor contravenga la Ley; y b).- En el caso de que la parte demandada, al contestar la demanda, se oponga a las pretensiones de la parte actora. En el primer caso, el Juez deberá hacer del conocimiento de las partes de manera concreta, los inconvenientes que haya advertido; y en el segundo, la demandada deberá exhibir una contrapuesta de convenio. Luego, si el Juez de la causa al examinar el convenio presentado por el actor, advierte que el mismo contraviene la Ley, verbigracia: porque no se precisó la forma o términos bajo los cuales se cubrirán las necesidades alimenticias de sus menores hijos, durante el procedimiento y después de decretarse el divorcio; el lugar y fecha del pago; así como la garantía para asegurar el debido cumplimiento de las obligaciones alimentarias; en tal supuesto, aun cuando no exista oposición por parte de la demandada con el contenido del convenio, -en atención al interés superior del menor y con el fin de preservar el derecho de los infantes de percibir alimentos por parte de sus padres, consagrado en el artículo 4° de la Constitución Política de los Estados Unidos Mexicanos-, el Juez deberá agotar la audiencia previa y de conciliación, procurando un acuerdo entre las partes en litigio, a través del cual se subsanen dichas irregularidades, con el fin de garantizar la puntual, regular y periódica entrega de dichos alimentos como satisfactores de las necesidades básicas que </w:t>
      </w:r>
      <w:r w:rsidRPr="00996904">
        <w:rPr>
          <w:rFonts w:ascii="Arial" w:hAnsi="Arial" w:cs="Arial"/>
          <w:sz w:val="24"/>
          <w:szCs w:val="24"/>
        </w:rPr>
        <w:lastRenderedPageBreak/>
        <w:t xml:space="preserve">los menores requieren de parte de sus progenitores, por ser la institución de los alimentos una cuestión de orden público, lo anterior en atención a que el artículo 561 </w:t>
      </w:r>
      <w:proofErr w:type="spellStart"/>
      <w:r w:rsidRPr="00996904">
        <w:rPr>
          <w:rFonts w:ascii="Arial" w:hAnsi="Arial" w:cs="Arial"/>
          <w:sz w:val="24"/>
          <w:szCs w:val="24"/>
        </w:rPr>
        <w:t>Octies</w:t>
      </w:r>
      <w:proofErr w:type="spellEnd"/>
      <w:r w:rsidRPr="00996904">
        <w:rPr>
          <w:rFonts w:ascii="Arial" w:hAnsi="Arial" w:cs="Arial"/>
          <w:sz w:val="24"/>
          <w:szCs w:val="24"/>
        </w:rPr>
        <w:t xml:space="preserve">, fracción IV, del Código de Procedimientos Civiles para el Estado, faculta a las partes, para que en la audiencia previa y de conciliación, puedan modificar o adicionar las cláusulas del convenio, esto, en la hipótesis de mérito, ante la exposición del Juzgador relativa a los inconvenientes advertidos, por lo cual, al estar en su caso los inconvenientes de acuerdo </w:t>
      </w:r>
      <w:r>
        <w:rPr>
          <w:rFonts w:ascii="Arial" w:hAnsi="Arial" w:cs="Arial"/>
          <w:sz w:val="24"/>
          <w:szCs w:val="24"/>
        </w:rPr>
        <w:t>en</w:t>
      </w:r>
      <w:r w:rsidRPr="00996904">
        <w:rPr>
          <w:rFonts w:ascii="Arial" w:hAnsi="Arial" w:cs="Arial"/>
          <w:sz w:val="24"/>
          <w:szCs w:val="24"/>
        </w:rPr>
        <w:t xml:space="preserve"> la enmienda de los puntos del convenio que no se ajustan a la ley, y cerciorado el Juez que los nuevos términos del consenso no contravengan normas ni principios legales, se citará para dictar la sentencia, en la que se declare el divorcio y se apruebe en su totalidad el convenio pactado por las partes, o bien, los tópicos sobre los que haya acuerdo y se sustenten en derecho.</w:t>
      </w:r>
    </w:p>
    <w:p w:rsidR="00A84BBE" w:rsidRPr="00996904" w:rsidRDefault="00A84BBE" w:rsidP="00A84BBE">
      <w:pPr>
        <w:rPr>
          <w:rFonts w:ascii="Arial" w:hAnsi="Arial" w:cs="Arial"/>
          <w:sz w:val="24"/>
          <w:szCs w:val="24"/>
        </w:rPr>
      </w:pPr>
    </w:p>
    <w:p w:rsidR="00A84BBE" w:rsidRPr="00996904" w:rsidRDefault="00A84BBE" w:rsidP="00A84BBE">
      <w:pPr>
        <w:spacing w:line="276" w:lineRule="auto"/>
        <w:ind w:right="67" w:firstLine="708"/>
        <w:rPr>
          <w:rFonts w:ascii="Arial" w:hAnsi="Arial" w:cs="Arial"/>
          <w:sz w:val="24"/>
          <w:szCs w:val="24"/>
        </w:rPr>
      </w:pPr>
      <w:r w:rsidRPr="00996904">
        <w:rPr>
          <w:rFonts w:ascii="Arial" w:hAnsi="Arial" w:cs="Arial"/>
          <w:sz w:val="24"/>
          <w:szCs w:val="24"/>
        </w:rPr>
        <w:t>Tercera Sala del Supremo Tribunal de Justicia del Estado.</w:t>
      </w:r>
    </w:p>
    <w:p w:rsidR="00A84BBE" w:rsidRPr="00996904" w:rsidRDefault="00A84BBE" w:rsidP="00A84BBE">
      <w:pPr>
        <w:spacing w:line="276" w:lineRule="auto"/>
        <w:ind w:right="67"/>
        <w:rPr>
          <w:rFonts w:ascii="Arial" w:hAnsi="Arial" w:cs="Arial"/>
          <w:b/>
        </w:rPr>
      </w:pPr>
      <w:r w:rsidRPr="00996904">
        <w:rPr>
          <w:rFonts w:ascii="Arial" w:hAnsi="Arial" w:cs="Arial"/>
          <w:sz w:val="24"/>
          <w:szCs w:val="24"/>
        </w:rPr>
        <w:t xml:space="preserve">Apelación 241-2019. </w:t>
      </w:r>
      <w:r w:rsidR="00F44820">
        <w:rPr>
          <w:rFonts w:ascii="Arial" w:hAnsi="Arial" w:cs="Arial"/>
          <w:bCs/>
          <w:iCs/>
          <w:sz w:val="24"/>
          <w:szCs w:val="24"/>
        </w:rPr>
        <w:t xml:space="preserve">Ma. Anahí Valenzuela </w:t>
      </w:r>
      <w:proofErr w:type="spellStart"/>
      <w:r w:rsidR="00F44820">
        <w:rPr>
          <w:rFonts w:ascii="Arial" w:hAnsi="Arial" w:cs="Arial"/>
          <w:bCs/>
          <w:iCs/>
          <w:sz w:val="24"/>
          <w:szCs w:val="24"/>
        </w:rPr>
        <w:t>Parga</w:t>
      </w:r>
      <w:proofErr w:type="spellEnd"/>
      <w:r w:rsidR="00F44820">
        <w:rPr>
          <w:rFonts w:ascii="Arial" w:hAnsi="Arial" w:cs="Arial"/>
          <w:bCs/>
          <w:iCs/>
          <w:sz w:val="24"/>
          <w:szCs w:val="24"/>
        </w:rPr>
        <w:t>. 5</w:t>
      </w:r>
      <w:r w:rsidRPr="00996904">
        <w:rPr>
          <w:rFonts w:ascii="Arial" w:hAnsi="Arial" w:cs="Arial"/>
          <w:bCs/>
          <w:iCs/>
          <w:sz w:val="24"/>
          <w:szCs w:val="24"/>
        </w:rPr>
        <w:t xml:space="preserve"> de </w:t>
      </w:r>
      <w:r w:rsidR="00984F61">
        <w:rPr>
          <w:rFonts w:ascii="Arial" w:hAnsi="Arial" w:cs="Arial"/>
          <w:bCs/>
          <w:iCs/>
          <w:sz w:val="24"/>
          <w:szCs w:val="24"/>
        </w:rPr>
        <w:t>abril del 2019</w:t>
      </w:r>
      <w:r w:rsidRPr="00996904">
        <w:rPr>
          <w:rFonts w:ascii="Arial" w:hAnsi="Arial" w:cs="Arial"/>
          <w:bCs/>
          <w:iCs/>
          <w:sz w:val="24"/>
          <w:szCs w:val="24"/>
        </w:rPr>
        <w:t xml:space="preserve">. </w:t>
      </w:r>
      <w:r w:rsidRPr="00996904">
        <w:rPr>
          <w:rFonts w:ascii="Arial" w:hAnsi="Arial" w:cs="Arial"/>
          <w:sz w:val="24"/>
          <w:szCs w:val="24"/>
        </w:rPr>
        <w:t xml:space="preserve">Unanimidad de votos. Ponente: Magistrado </w:t>
      </w:r>
      <w:r w:rsidRPr="00996904">
        <w:rPr>
          <w:rFonts w:ascii="Arial" w:hAnsi="Arial" w:cs="Arial"/>
          <w:bCs/>
          <w:iCs/>
          <w:sz w:val="24"/>
          <w:szCs w:val="24"/>
        </w:rPr>
        <w:t>Felipe Aurelio Torres Zúñiga</w:t>
      </w:r>
      <w:r w:rsidRPr="00996904">
        <w:rPr>
          <w:rFonts w:ascii="Arial" w:hAnsi="Arial" w:cs="Arial"/>
          <w:sz w:val="24"/>
          <w:szCs w:val="24"/>
        </w:rPr>
        <w:t xml:space="preserve">, Secretario de Estudio y Cuenta, Licenciado </w:t>
      </w:r>
      <w:r w:rsidRPr="00996904">
        <w:rPr>
          <w:rFonts w:ascii="Arial" w:hAnsi="Arial" w:cs="Arial"/>
          <w:iCs/>
          <w:sz w:val="24"/>
          <w:szCs w:val="24"/>
        </w:rPr>
        <w:t xml:space="preserve">Luis Raúl Gámez </w:t>
      </w:r>
      <w:proofErr w:type="spellStart"/>
      <w:r w:rsidRPr="00996904">
        <w:rPr>
          <w:rFonts w:ascii="Arial" w:hAnsi="Arial" w:cs="Arial"/>
          <w:iCs/>
          <w:sz w:val="24"/>
          <w:szCs w:val="24"/>
        </w:rPr>
        <w:t>Leija</w:t>
      </w:r>
      <w:proofErr w:type="spellEnd"/>
      <w:r w:rsidRPr="00996904">
        <w:rPr>
          <w:rFonts w:ascii="Arial" w:hAnsi="Arial" w:cs="Arial"/>
          <w:sz w:val="24"/>
          <w:szCs w:val="24"/>
        </w:rPr>
        <w:t>.</w:t>
      </w:r>
    </w:p>
    <w:p w:rsidR="00A84BBE" w:rsidRDefault="00A84BBE" w:rsidP="001F3F48">
      <w:pPr>
        <w:spacing w:before="0" w:beforeAutospacing="0" w:after="0" w:afterAutospacing="0"/>
        <w:ind w:left="2832" w:firstLine="708"/>
        <w:rPr>
          <w:rFonts w:ascii="Arial" w:hAnsi="Arial" w:cs="Arial"/>
          <w:b/>
        </w:rPr>
      </w:pPr>
    </w:p>
    <w:p w:rsidR="00A84BBE" w:rsidRDefault="00A84BBE" w:rsidP="001F3F48">
      <w:pPr>
        <w:spacing w:before="0" w:beforeAutospacing="0" w:after="0" w:afterAutospacing="0"/>
        <w:ind w:left="2832" w:firstLine="708"/>
        <w:rPr>
          <w:rFonts w:ascii="Arial" w:hAnsi="Arial" w:cs="Arial"/>
          <w:b/>
        </w:rPr>
      </w:pPr>
    </w:p>
    <w:p w:rsidR="00A84BBE" w:rsidRDefault="00A84BBE" w:rsidP="001F3F48">
      <w:pPr>
        <w:spacing w:before="0" w:beforeAutospacing="0" w:after="0" w:afterAutospacing="0"/>
        <w:ind w:left="2832" w:firstLine="708"/>
        <w:rPr>
          <w:rFonts w:ascii="Arial" w:hAnsi="Arial" w:cs="Arial"/>
          <w:b/>
        </w:rPr>
      </w:pPr>
    </w:p>
    <w:p w:rsidR="00A84BBE" w:rsidRDefault="00A84BBE" w:rsidP="001F3F48">
      <w:pPr>
        <w:spacing w:before="0" w:beforeAutospacing="0" w:after="0" w:afterAutospacing="0"/>
        <w:ind w:left="2832" w:firstLine="708"/>
        <w:rPr>
          <w:rFonts w:ascii="Arial" w:hAnsi="Arial" w:cs="Arial"/>
          <w:b/>
        </w:rPr>
      </w:pPr>
    </w:p>
    <w:sectPr w:rsidR="00A84B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C63"/>
    <w:rsid w:val="000F3F10"/>
    <w:rsid w:val="00132908"/>
    <w:rsid w:val="001F3F48"/>
    <w:rsid w:val="003060CD"/>
    <w:rsid w:val="00337949"/>
    <w:rsid w:val="004A0CF2"/>
    <w:rsid w:val="00656BCE"/>
    <w:rsid w:val="007911D3"/>
    <w:rsid w:val="00814584"/>
    <w:rsid w:val="00833079"/>
    <w:rsid w:val="008672A9"/>
    <w:rsid w:val="009825FA"/>
    <w:rsid w:val="00984F61"/>
    <w:rsid w:val="00A452B8"/>
    <w:rsid w:val="00A84BBE"/>
    <w:rsid w:val="00C07E19"/>
    <w:rsid w:val="00C5576C"/>
    <w:rsid w:val="00D869F2"/>
    <w:rsid w:val="00ED6C63"/>
    <w:rsid w:val="00F4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C63"/>
    <w:pPr>
      <w:spacing w:before="100" w:beforeAutospacing="1" w:after="100" w:afterAutospacing="1"/>
      <w:jc w:val="both"/>
    </w:pPr>
    <w:rPr>
      <w:rFonts w:asciiTheme="minorHAnsi" w:hAnsiTheme="minorHAnsi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C63"/>
    <w:pPr>
      <w:spacing w:before="100" w:beforeAutospacing="1" w:after="100" w:afterAutospacing="1"/>
      <w:jc w:val="both"/>
    </w:pPr>
    <w:rPr>
      <w:rFonts w:asciiTheme="minorHAnsi" w:hAnsiTheme="minorHAnsi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OSCAR RODRIGUEZ CASTAÑEDA</dc:creator>
  <cp:lastModifiedBy>SEPCJ</cp:lastModifiedBy>
  <cp:revision>5</cp:revision>
  <cp:lastPrinted>2019-05-07T14:06:00Z</cp:lastPrinted>
  <dcterms:created xsi:type="dcterms:W3CDTF">2019-05-07T15:34:00Z</dcterms:created>
  <dcterms:modified xsi:type="dcterms:W3CDTF">2019-05-07T15:41:00Z</dcterms:modified>
</cp:coreProperties>
</file>