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982" w:rsidRPr="00991CC6" w:rsidRDefault="00296982" w:rsidP="00991CC6">
      <w:pPr>
        <w:pStyle w:val="Ttulo"/>
        <w:spacing w:before="0" w:after="0"/>
        <w:jc w:val="right"/>
        <w:rPr>
          <w:rFonts w:ascii="Arial" w:hAnsi="Arial" w:cs="Arial"/>
          <w:color w:val="2E74B5" w:themeColor="accent1" w:themeShade="BF"/>
          <w:sz w:val="24"/>
          <w:szCs w:val="24"/>
        </w:rPr>
      </w:pPr>
      <w:r w:rsidRPr="00135A55">
        <w:rPr>
          <w:rFonts w:ascii="Arial" w:hAnsi="Arial" w:cs="Arial"/>
          <w:color w:val="2E74B5" w:themeColor="accent1" w:themeShade="BF"/>
        </w:rPr>
        <w:t xml:space="preserve">   </w:t>
      </w:r>
      <w:r w:rsidRPr="00135A55">
        <w:rPr>
          <w:rFonts w:ascii="Arial" w:hAnsi="Arial" w:cs="Arial"/>
          <w:color w:val="2E74B5" w:themeColor="accent1" w:themeShade="BF"/>
          <w:sz w:val="24"/>
          <w:szCs w:val="24"/>
        </w:rPr>
        <w:t xml:space="preserve">  </w:t>
      </w:r>
      <w:r w:rsidRPr="00991CC6">
        <w:rPr>
          <w:rFonts w:ascii="Arial" w:hAnsi="Arial" w:cs="Arial"/>
          <w:color w:val="2E74B5" w:themeColor="accent1" w:themeShade="BF"/>
          <w:sz w:val="24"/>
          <w:szCs w:val="24"/>
        </w:rPr>
        <w:t xml:space="preserve">RECURSO DE REVISIÓN </w:t>
      </w:r>
      <w:r w:rsidR="00480566" w:rsidRPr="00991CC6">
        <w:rPr>
          <w:rFonts w:ascii="Arial" w:hAnsi="Arial" w:cs="Arial"/>
          <w:color w:val="2E74B5" w:themeColor="accent1" w:themeShade="BF"/>
          <w:sz w:val="24"/>
          <w:szCs w:val="24"/>
        </w:rPr>
        <w:t>0</w:t>
      </w:r>
      <w:r w:rsidR="00E80C19">
        <w:rPr>
          <w:rFonts w:ascii="Arial" w:hAnsi="Arial" w:cs="Arial"/>
          <w:color w:val="2E74B5" w:themeColor="accent1" w:themeShade="BF"/>
          <w:sz w:val="24"/>
          <w:szCs w:val="24"/>
        </w:rPr>
        <w:t>74</w:t>
      </w:r>
      <w:r w:rsidRPr="00991CC6">
        <w:rPr>
          <w:rFonts w:ascii="Arial" w:hAnsi="Arial" w:cs="Arial"/>
          <w:color w:val="2E74B5" w:themeColor="accent1" w:themeShade="BF"/>
          <w:sz w:val="24"/>
          <w:szCs w:val="24"/>
        </w:rPr>
        <w:t>/201</w:t>
      </w:r>
      <w:r w:rsidR="00EE37AF" w:rsidRPr="00991CC6">
        <w:rPr>
          <w:rFonts w:ascii="Arial" w:hAnsi="Arial" w:cs="Arial"/>
          <w:color w:val="2E74B5" w:themeColor="accent1" w:themeShade="BF"/>
          <w:sz w:val="24"/>
          <w:szCs w:val="24"/>
        </w:rPr>
        <w:t>9</w:t>
      </w:r>
      <w:r w:rsidRPr="00991CC6">
        <w:rPr>
          <w:rFonts w:ascii="Arial" w:hAnsi="Arial" w:cs="Arial"/>
          <w:color w:val="2E74B5" w:themeColor="accent1" w:themeShade="BF"/>
          <w:sz w:val="24"/>
          <w:szCs w:val="24"/>
        </w:rPr>
        <w:t>-2</w:t>
      </w:r>
    </w:p>
    <w:p w:rsidR="00296982" w:rsidRPr="00991CC6" w:rsidRDefault="00296982" w:rsidP="00991CC6">
      <w:pPr>
        <w:pStyle w:val="corte1datos"/>
        <w:spacing w:line="276" w:lineRule="auto"/>
        <w:jc w:val="right"/>
        <w:rPr>
          <w:rFonts w:cs="Arial"/>
          <w:color w:val="2E74B5" w:themeColor="accent1" w:themeShade="BF"/>
          <w:sz w:val="24"/>
          <w:szCs w:val="24"/>
        </w:rPr>
      </w:pP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 xml:space="preserve">COMISIONADO PONENTE: </w:t>
      </w: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LIC. PAULINA SÁNCHEZ PÉREZ DEL POZO</w:t>
      </w:r>
    </w:p>
    <w:p w:rsidR="00296982" w:rsidRPr="00991CC6" w:rsidRDefault="00296982" w:rsidP="00991CC6">
      <w:pPr>
        <w:pStyle w:val="corte2ponente"/>
        <w:spacing w:line="276" w:lineRule="auto"/>
        <w:jc w:val="right"/>
        <w:rPr>
          <w:rFonts w:cs="Arial"/>
          <w:color w:val="2E74B5" w:themeColor="accent1" w:themeShade="BF"/>
          <w:sz w:val="24"/>
          <w:szCs w:val="24"/>
        </w:rPr>
      </w:pP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 xml:space="preserve">SUJETO OBLIGADO: </w:t>
      </w:r>
    </w:p>
    <w:p w:rsidR="00296982" w:rsidRPr="00991CC6" w:rsidRDefault="00296982" w:rsidP="00991CC6">
      <w:pPr>
        <w:pStyle w:val="corte2ponente"/>
        <w:spacing w:line="276" w:lineRule="auto"/>
        <w:jc w:val="right"/>
        <w:rPr>
          <w:rFonts w:cs="Arial"/>
          <w:color w:val="2E74B5" w:themeColor="accent1" w:themeShade="BF"/>
          <w:sz w:val="24"/>
          <w:szCs w:val="24"/>
        </w:rPr>
      </w:pPr>
      <w:r w:rsidRPr="00991CC6">
        <w:rPr>
          <w:rFonts w:cs="Arial"/>
          <w:color w:val="2E74B5" w:themeColor="accent1" w:themeShade="BF"/>
          <w:sz w:val="24"/>
          <w:szCs w:val="24"/>
        </w:rPr>
        <w:t>h.</w:t>
      </w:r>
      <w:r w:rsidR="00627088" w:rsidRPr="00991CC6">
        <w:rPr>
          <w:rFonts w:cs="Arial"/>
          <w:color w:val="2E74B5" w:themeColor="accent1" w:themeShade="BF"/>
          <w:sz w:val="24"/>
          <w:szCs w:val="24"/>
        </w:rPr>
        <w:t xml:space="preserve"> aYUNTAMIENTO DE SAN MARTÍN CHALCHICUAUTLA</w:t>
      </w:r>
      <w:r w:rsidRPr="00991CC6">
        <w:rPr>
          <w:rFonts w:cs="Arial"/>
          <w:color w:val="2E74B5" w:themeColor="accent1" w:themeShade="BF"/>
          <w:sz w:val="24"/>
          <w:szCs w:val="24"/>
        </w:rPr>
        <w:t>.</w:t>
      </w:r>
    </w:p>
    <w:p w:rsidR="00296982" w:rsidRPr="00991CC6" w:rsidRDefault="00296982" w:rsidP="00991CC6">
      <w:pPr>
        <w:pStyle w:val="corte2ponente"/>
        <w:spacing w:line="276" w:lineRule="auto"/>
        <w:jc w:val="right"/>
        <w:rPr>
          <w:rFonts w:cs="Arial"/>
          <w:color w:val="2E74B5" w:themeColor="accent1" w:themeShade="BF"/>
          <w:sz w:val="24"/>
          <w:szCs w:val="24"/>
        </w:rPr>
      </w:pPr>
    </w:p>
    <w:p w:rsidR="00296982" w:rsidRPr="00991CC6" w:rsidRDefault="00296982" w:rsidP="00991CC6">
      <w:pPr>
        <w:pStyle w:val="corte2ponente"/>
        <w:spacing w:line="276" w:lineRule="auto"/>
        <w:rPr>
          <w:rFonts w:cs="Arial"/>
          <w:color w:val="2E74B5" w:themeColor="accent1" w:themeShade="BF"/>
          <w:sz w:val="24"/>
          <w:szCs w:val="24"/>
        </w:rPr>
      </w:pPr>
    </w:p>
    <w:p w:rsidR="00296982" w:rsidRPr="00991CC6" w:rsidRDefault="00296982" w:rsidP="00991CC6">
      <w:pPr>
        <w:pStyle w:val="corte2ponente"/>
        <w:spacing w:line="276" w:lineRule="auto"/>
        <w:rPr>
          <w:rFonts w:cs="Arial"/>
          <w:color w:val="2E74B5" w:themeColor="accent1" w:themeShade="BF"/>
          <w:sz w:val="24"/>
          <w:szCs w:val="24"/>
        </w:rPr>
      </w:pPr>
    </w:p>
    <w:p w:rsidR="00296982" w:rsidRPr="00991CC6" w:rsidRDefault="00296982" w:rsidP="00991CC6">
      <w:pPr>
        <w:pStyle w:val="corte4fondo"/>
        <w:spacing w:line="276" w:lineRule="auto"/>
        <w:ind w:firstLine="0"/>
        <w:rPr>
          <w:rFonts w:cs="Arial"/>
          <w:b/>
          <w:color w:val="2E74B5" w:themeColor="accent1" w:themeShade="BF"/>
          <w:sz w:val="24"/>
          <w:szCs w:val="24"/>
          <w:vertAlign w:val="subscript"/>
        </w:rPr>
      </w:pPr>
      <w:r w:rsidRPr="00991CC6">
        <w:rPr>
          <w:rFonts w:cs="Arial"/>
          <w:color w:val="2E74B5" w:themeColor="accent1" w:themeShade="BF"/>
          <w:sz w:val="24"/>
          <w:szCs w:val="24"/>
        </w:rPr>
        <w:tab/>
        <w:t xml:space="preserve">San Luis Potosí, San Luis Potosí. Acuerdo del Pleno de la Comisión Estatal </w:t>
      </w:r>
      <w:proofErr w:type="gramStart"/>
      <w:r w:rsidRPr="00991CC6">
        <w:rPr>
          <w:rFonts w:cs="Arial"/>
          <w:color w:val="2E74B5" w:themeColor="accent1" w:themeShade="BF"/>
          <w:sz w:val="24"/>
          <w:szCs w:val="24"/>
        </w:rPr>
        <w:t>de</w:t>
      </w:r>
      <w:proofErr w:type="gramEnd"/>
      <w:r w:rsidRPr="00991CC6">
        <w:rPr>
          <w:rFonts w:cs="Arial"/>
          <w:color w:val="2E74B5" w:themeColor="accent1" w:themeShade="BF"/>
          <w:sz w:val="24"/>
          <w:szCs w:val="24"/>
        </w:rPr>
        <w:t xml:space="preserve"> Garantía de Acceso a la Información Pública, correspondiente a la Sesión de </w:t>
      </w:r>
      <w:r w:rsidR="00334BB5">
        <w:rPr>
          <w:rFonts w:cs="Arial"/>
          <w:color w:val="2E74B5" w:themeColor="accent1" w:themeShade="BF"/>
          <w:sz w:val="24"/>
          <w:szCs w:val="24"/>
        </w:rPr>
        <w:t xml:space="preserve">10 diez </w:t>
      </w:r>
      <w:r w:rsidR="00B5131F">
        <w:rPr>
          <w:rFonts w:cs="Arial"/>
          <w:color w:val="2E74B5" w:themeColor="accent1" w:themeShade="BF"/>
          <w:sz w:val="24"/>
          <w:szCs w:val="24"/>
        </w:rPr>
        <w:t xml:space="preserve">de abril de </w:t>
      </w:r>
      <w:r w:rsidRPr="00991CC6">
        <w:rPr>
          <w:rFonts w:cs="Arial"/>
          <w:color w:val="2E74B5" w:themeColor="accent1" w:themeShade="BF"/>
          <w:sz w:val="24"/>
          <w:szCs w:val="24"/>
        </w:rPr>
        <w:t xml:space="preserve">2019 dos mil diecinueve. </w:t>
      </w:r>
      <w:r w:rsidRPr="00991CC6">
        <w:rPr>
          <w:rFonts w:cs="Arial"/>
          <w:b/>
          <w:color w:val="2E74B5" w:themeColor="accent1" w:themeShade="BF"/>
          <w:sz w:val="24"/>
          <w:szCs w:val="24"/>
          <w:vertAlign w:val="subscript"/>
        </w:rPr>
        <w:t xml:space="preserve"> </w:t>
      </w:r>
    </w:p>
    <w:p w:rsidR="00296982" w:rsidRPr="00991CC6" w:rsidRDefault="00296982" w:rsidP="00991CC6">
      <w:pPr>
        <w:pStyle w:val="corte4fondo"/>
        <w:spacing w:line="276" w:lineRule="auto"/>
        <w:ind w:firstLine="0"/>
        <w:rPr>
          <w:rFonts w:cs="Arial"/>
          <w:b/>
          <w:color w:val="2E74B5" w:themeColor="accent1" w:themeShade="BF"/>
          <w:sz w:val="24"/>
          <w:szCs w:val="24"/>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b/>
          <w:color w:val="2E74B5" w:themeColor="accent1" w:themeShade="BF"/>
          <w:sz w:val="24"/>
          <w:szCs w:val="24"/>
        </w:rPr>
        <w:t>VISTOS</w:t>
      </w:r>
      <w:r w:rsidRPr="00991CC6">
        <w:rPr>
          <w:rFonts w:cs="Arial"/>
          <w:color w:val="2E74B5" w:themeColor="accent1" w:themeShade="BF"/>
          <w:sz w:val="24"/>
          <w:szCs w:val="24"/>
        </w:rPr>
        <w:t>, para resolver, los autos del recurso de revisión identificado al rubro; y</w:t>
      </w:r>
    </w:p>
    <w:p w:rsidR="00296982" w:rsidRPr="00991CC6" w:rsidRDefault="00296982" w:rsidP="00991CC6">
      <w:pPr>
        <w:pStyle w:val="corte4fondo"/>
        <w:spacing w:line="276" w:lineRule="auto"/>
        <w:rPr>
          <w:rFonts w:cs="Arial"/>
          <w:color w:val="2E74B5" w:themeColor="accent1" w:themeShade="BF"/>
          <w:sz w:val="24"/>
          <w:szCs w:val="24"/>
        </w:rPr>
      </w:pPr>
    </w:p>
    <w:p w:rsidR="00296982" w:rsidRPr="00991CC6" w:rsidRDefault="00296982" w:rsidP="00991CC6">
      <w:pPr>
        <w:pStyle w:val="corte4fondo"/>
        <w:spacing w:line="276" w:lineRule="auto"/>
        <w:jc w:val="center"/>
        <w:rPr>
          <w:rFonts w:cs="Arial"/>
          <w:color w:val="2E74B5" w:themeColor="accent1" w:themeShade="BF"/>
          <w:sz w:val="24"/>
          <w:szCs w:val="24"/>
        </w:rPr>
      </w:pPr>
      <w:r w:rsidRPr="00991CC6">
        <w:rPr>
          <w:rFonts w:cs="Arial"/>
          <w:b/>
          <w:color w:val="2E74B5" w:themeColor="accent1" w:themeShade="BF"/>
          <w:sz w:val="24"/>
          <w:szCs w:val="24"/>
        </w:rPr>
        <w:t>R E S U L T A N D O</w:t>
      </w:r>
      <w:r w:rsidRPr="00991CC6">
        <w:rPr>
          <w:rFonts w:cs="Arial"/>
          <w:color w:val="2E74B5" w:themeColor="accent1" w:themeShade="BF"/>
          <w:sz w:val="24"/>
          <w:szCs w:val="24"/>
        </w:rPr>
        <w:t>:</w:t>
      </w:r>
    </w:p>
    <w:p w:rsidR="00296982" w:rsidRPr="00991CC6" w:rsidRDefault="00296982" w:rsidP="00991CC6">
      <w:pPr>
        <w:pStyle w:val="corte4fondo"/>
        <w:spacing w:line="276" w:lineRule="auto"/>
        <w:jc w:val="center"/>
        <w:rPr>
          <w:rFonts w:cs="Arial"/>
          <w:color w:val="2E74B5" w:themeColor="accent1" w:themeShade="BF"/>
          <w:sz w:val="24"/>
          <w:szCs w:val="24"/>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 xml:space="preserve">PRIMERO. Solicitud de acceso a la información pública. </w:t>
      </w:r>
      <w:r w:rsidRPr="00991CC6">
        <w:rPr>
          <w:rFonts w:ascii="Arial" w:eastAsia="Times New Roman" w:hAnsi="Arial" w:cs="Arial"/>
          <w:color w:val="2E74B5" w:themeColor="accent1" w:themeShade="BF"/>
          <w:sz w:val="24"/>
          <w:szCs w:val="24"/>
          <w:lang w:eastAsia="es-MX"/>
        </w:rPr>
        <w:t xml:space="preserve">Según consta en la Plataforma Nacional de Transparencia en el folio </w:t>
      </w:r>
      <w:r w:rsidR="00EE37AF" w:rsidRPr="00991CC6">
        <w:rPr>
          <w:rFonts w:ascii="Arial" w:eastAsia="Times New Roman" w:hAnsi="Arial" w:cs="Arial"/>
          <w:b/>
          <w:color w:val="2E74B5" w:themeColor="accent1" w:themeShade="BF"/>
          <w:sz w:val="24"/>
          <w:szCs w:val="24"/>
          <w:lang w:eastAsia="es-MX"/>
        </w:rPr>
        <w:t>000</w:t>
      </w:r>
      <w:r w:rsidR="00334BB5">
        <w:rPr>
          <w:rFonts w:ascii="Arial" w:eastAsia="Times New Roman" w:hAnsi="Arial" w:cs="Arial"/>
          <w:b/>
          <w:color w:val="2E74B5" w:themeColor="accent1" w:themeShade="BF"/>
          <w:sz w:val="24"/>
          <w:szCs w:val="24"/>
          <w:lang w:eastAsia="es-MX"/>
        </w:rPr>
        <w:t>18919</w:t>
      </w:r>
      <w:r w:rsidRPr="00991CC6">
        <w:rPr>
          <w:rFonts w:ascii="Arial" w:eastAsia="Times New Roman" w:hAnsi="Arial" w:cs="Arial"/>
          <w:b/>
          <w:color w:val="2E74B5" w:themeColor="accent1" w:themeShade="BF"/>
          <w:sz w:val="24"/>
          <w:szCs w:val="24"/>
          <w:lang w:eastAsia="es-MX"/>
        </w:rPr>
        <w:t xml:space="preserve"> </w:t>
      </w:r>
      <w:r w:rsidRPr="00991CC6">
        <w:rPr>
          <w:rFonts w:ascii="Arial" w:eastAsia="Times New Roman" w:hAnsi="Arial" w:cs="Arial"/>
          <w:color w:val="2E74B5" w:themeColor="accent1" w:themeShade="BF"/>
          <w:sz w:val="24"/>
          <w:szCs w:val="24"/>
          <w:lang w:eastAsia="es-MX"/>
        </w:rPr>
        <w:t>cero, cero,</w:t>
      </w:r>
      <w:r w:rsidR="00014130" w:rsidRPr="00991CC6">
        <w:rPr>
          <w:rFonts w:ascii="Arial" w:eastAsia="Times New Roman" w:hAnsi="Arial" w:cs="Arial"/>
          <w:color w:val="2E74B5" w:themeColor="accent1" w:themeShade="BF"/>
          <w:sz w:val="24"/>
          <w:szCs w:val="24"/>
          <w:lang w:eastAsia="es-MX"/>
        </w:rPr>
        <w:t xml:space="preserve"> </w:t>
      </w:r>
      <w:r w:rsidR="00EE37AF" w:rsidRPr="00991CC6">
        <w:rPr>
          <w:rFonts w:ascii="Arial" w:eastAsia="Times New Roman" w:hAnsi="Arial" w:cs="Arial"/>
          <w:color w:val="2E74B5" w:themeColor="accent1" w:themeShade="BF"/>
          <w:sz w:val="24"/>
          <w:szCs w:val="24"/>
          <w:lang w:eastAsia="es-MX"/>
        </w:rPr>
        <w:t xml:space="preserve">cero, </w:t>
      </w:r>
      <w:r w:rsidR="00334BB5">
        <w:rPr>
          <w:rFonts w:ascii="Arial" w:eastAsia="Times New Roman" w:hAnsi="Arial" w:cs="Arial"/>
          <w:color w:val="2E74B5" w:themeColor="accent1" w:themeShade="BF"/>
          <w:sz w:val="24"/>
          <w:szCs w:val="24"/>
          <w:lang w:eastAsia="es-MX"/>
        </w:rPr>
        <w:t xml:space="preserve">dieciocho mil novecientos </w:t>
      </w:r>
      <w:r w:rsidR="00EE37AF" w:rsidRPr="00991CC6">
        <w:rPr>
          <w:rFonts w:ascii="Arial" w:eastAsia="Times New Roman" w:hAnsi="Arial" w:cs="Arial"/>
          <w:color w:val="2E74B5" w:themeColor="accent1" w:themeShade="BF"/>
          <w:sz w:val="24"/>
          <w:szCs w:val="24"/>
          <w:lang w:eastAsia="es-MX"/>
        </w:rPr>
        <w:t>diecinueve</w:t>
      </w:r>
      <w:r w:rsidRPr="00991CC6">
        <w:rPr>
          <w:rFonts w:ascii="Arial" w:eastAsia="Times New Roman" w:hAnsi="Arial" w:cs="Arial"/>
          <w:color w:val="2E74B5" w:themeColor="accent1" w:themeShade="BF"/>
          <w:sz w:val="24"/>
          <w:szCs w:val="24"/>
          <w:lang w:eastAsia="es-MX"/>
        </w:rPr>
        <w:t xml:space="preserve">, el </w:t>
      </w:r>
      <w:r w:rsidR="00334BB5">
        <w:rPr>
          <w:rFonts w:ascii="Arial" w:eastAsia="Times New Roman" w:hAnsi="Arial" w:cs="Arial"/>
          <w:color w:val="2E74B5" w:themeColor="accent1" w:themeShade="BF"/>
          <w:sz w:val="24"/>
          <w:szCs w:val="24"/>
          <w:lang w:eastAsia="es-MX"/>
        </w:rPr>
        <w:t xml:space="preserve">07 siete </w:t>
      </w:r>
      <w:r w:rsidR="00EE37AF" w:rsidRPr="00991CC6">
        <w:rPr>
          <w:rFonts w:ascii="Arial" w:eastAsia="Times New Roman" w:hAnsi="Arial" w:cs="Arial"/>
          <w:color w:val="2E74B5" w:themeColor="accent1" w:themeShade="BF"/>
          <w:sz w:val="24"/>
          <w:szCs w:val="24"/>
          <w:lang w:eastAsia="es-MX"/>
        </w:rPr>
        <w:t xml:space="preserve">de enero de 2019 dos mil diecinueve </w:t>
      </w:r>
      <w:r w:rsidRPr="00991CC6">
        <w:rPr>
          <w:rFonts w:ascii="Arial" w:eastAsia="Times New Roman" w:hAnsi="Arial" w:cs="Arial"/>
          <w:b/>
          <w:color w:val="2E74B5" w:themeColor="accent1" w:themeShade="BF"/>
          <w:sz w:val="24"/>
          <w:szCs w:val="24"/>
          <w:lang w:eastAsia="es-MX"/>
        </w:rPr>
        <w:t xml:space="preserve">el </w:t>
      </w:r>
      <w:r w:rsidRPr="00991CC6">
        <w:rPr>
          <w:rFonts w:ascii="Arial" w:hAnsi="Arial" w:cs="Arial"/>
          <w:b/>
          <w:color w:val="2E74B5" w:themeColor="accent1" w:themeShade="BF"/>
          <w:sz w:val="24"/>
          <w:szCs w:val="24"/>
        </w:rPr>
        <w:t xml:space="preserve">MUNICIPIO </w:t>
      </w:r>
      <w:r w:rsidR="00DC7CB3" w:rsidRPr="00991CC6">
        <w:rPr>
          <w:rFonts w:ascii="Arial" w:hAnsi="Arial" w:cs="Arial"/>
          <w:b/>
          <w:color w:val="2E74B5" w:themeColor="accent1" w:themeShade="BF"/>
          <w:sz w:val="24"/>
          <w:szCs w:val="24"/>
        </w:rPr>
        <w:t xml:space="preserve">DE SAN </w:t>
      </w:r>
      <w:r w:rsidR="00627088" w:rsidRPr="00991CC6">
        <w:rPr>
          <w:rFonts w:ascii="Arial" w:hAnsi="Arial" w:cs="Arial"/>
          <w:b/>
          <w:color w:val="2E74B5" w:themeColor="accent1" w:themeShade="BF"/>
          <w:sz w:val="24"/>
          <w:szCs w:val="24"/>
        </w:rPr>
        <w:t>MARTIN CHALCHICUATLA</w:t>
      </w:r>
      <w:r w:rsidR="00DC7CB3" w:rsidRPr="00991CC6">
        <w:rPr>
          <w:rFonts w:ascii="Arial" w:hAnsi="Arial" w:cs="Arial"/>
          <w:b/>
          <w:color w:val="2E74B5" w:themeColor="accent1" w:themeShade="BF"/>
          <w:sz w:val="24"/>
          <w:szCs w:val="24"/>
        </w:rPr>
        <w:t xml:space="preserve"> </w:t>
      </w:r>
      <w:r w:rsidRPr="00991CC6">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991CC6">
        <w:rPr>
          <w:rFonts w:ascii="Arial" w:eastAsia="Times New Roman" w:hAnsi="Arial" w:cs="Arial"/>
          <w:color w:val="2E74B5" w:themeColor="accent1" w:themeShade="BF"/>
          <w:sz w:val="24"/>
          <w:szCs w:val="24"/>
          <w:vertAlign w:val="superscript"/>
          <w:lang w:eastAsia="es-MX"/>
        </w:rPr>
        <w:footnoteReference w:id="1"/>
      </w:r>
      <w:r w:rsidRPr="00991CC6">
        <w:rPr>
          <w:rFonts w:ascii="Arial" w:eastAsia="Times New Roman" w:hAnsi="Arial" w:cs="Arial"/>
          <w:color w:val="2E74B5" w:themeColor="accent1" w:themeShade="BF"/>
          <w:sz w:val="24"/>
          <w:szCs w:val="24"/>
          <w:lang w:eastAsia="es-MX"/>
        </w:rPr>
        <w:t>:</w:t>
      </w:r>
    </w:p>
    <w:p w:rsidR="00296982" w:rsidRPr="00991CC6" w:rsidRDefault="00296982" w:rsidP="00991CC6">
      <w:pPr>
        <w:pStyle w:val="corte4fondo"/>
        <w:spacing w:line="276" w:lineRule="auto"/>
        <w:ind w:firstLine="0"/>
        <w:rPr>
          <w:rFonts w:cs="Arial"/>
          <w:color w:val="2E74B5" w:themeColor="accent1" w:themeShade="BF"/>
          <w:sz w:val="24"/>
          <w:szCs w:val="24"/>
        </w:rPr>
      </w:pPr>
    </w:p>
    <w:p w:rsidR="0086157B" w:rsidRPr="00991CC6" w:rsidRDefault="00874997" w:rsidP="00991CC6">
      <w:pPr>
        <w:pStyle w:val="corte4fondo"/>
        <w:spacing w:line="276" w:lineRule="auto"/>
        <w:ind w:firstLine="0"/>
        <w:rPr>
          <w:rFonts w:cs="Arial"/>
          <w:color w:val="2E74B5" w:themeColor="accent1" w:themeShade="BF"/>
          <w:sz w:val="24"/>
          <w:szCs w:val="24"/>
        </w:rPr>
      </w:pPr>
      <w:r>
        <w:rPr>
          <w:rFonts w:cs="Arial"/>
          <w:noProof/>
          <w:color w:val="2E74B5" w:themeColor="accent1" w:themeShade="BF"/>
          <w:sz w:val="24"/>
          <w:szCs w:val="24"/>
        </w:rPr>
        <w:drawing>
          <wp:inline distT="0" distB="0" distL="0" distR="0">
            <wp:extent cx="5610225" cy="16383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10225" cy="1638300"/>
                    </a:xfrm>
                    <a:prstGeom prst="rect">
                      <a:avLst/>
                    </a:prstGeom>
                    <a:noFill/>
                    <a:ln>
                      <a:noFill/>
                    </a:ln>
                  </pic:spPr>
                </pic:pic>
              </a:graphicData>
            </a:graphic>
          </wp:inline>
        </w:drawing>
      </w:r>
    </w:p>
    <w:p w:rsidR="00874997" w:rsidRDefault="00874997" w:rsidP="00874997">
      <w:pPr>
        <w:pStyle w:val="corte4fondo"/>
        <w:ind w:firstLine="708"/>
        <w:rPr>
          <w:rFonts w:cs="Arial"/>
          <w:i/>
          <w:color w:val="2E74B5" w:themeColor="accent1" w:themeShade="BF"/>
          <w:sz w:val="20"/>
        </w:rPr>
      </w:pPr>
    </w:p>
    <w:p w:rsidR="00874997" w:rsidRPr="00874997" w:rsidRDefault="00296982" w:rsidP="00874997">
      <w:pPr>
        <w:pStyle w:val="corte4fondo"/>
        <w:ind w:firstLine="708"/>
        <w:rPr>
          <w:rFonts w:cs="Arial"/>
          <w:i/>
          <w:color w:val="2E74B5" w:themeColor="accent1" w:themeShade="BF"/>
          <w:sz w:val="20"/>
        </w:rPr>
      </w:pPr>
      <w:r w:rsidRPr="00991CC6">
        <w:rPr>
          <w:rFonts w:cs="Arial"/>
          <w:i/>
          <w:color w:val="2E74B5" w:themeColor="accent1" w:themeShade="BF"/>
          <w:sz w:val="20"/>
        </w:rPr>
        <w:t>“…</w:t>
      </w:r>
      <w:r w:rsidR="00874997" w:rsidRPr="00874997">
        <w:rPr>
          <w:rFonts w:cs="Arial"/>
          <w:i/>
          <w:color w:val="2E74B5" w:themeColor="accent1" w:themeShade="BF"/>
          <w:sz w:val="20"/>
        </w:rPr>
        <w:t xml:space="preserve">Ivonne </w:t>
      </w:r>
      <w:proofErr w:type="spellStart"/>
      <w:r w:rsidR="00874997" w:rsidRPr="00874997">
        <w:rPr>
          <w:rFonts w:cs="Arial"/>
          <w:i/>
          <w:color w:val="2E74B5" w:themeColor="accent1" w:themeShade="BF"/>
          <w:sz w:val="20"/>
        </w:rPr>
        <w:t>lizeth</w:t>
      </w:r>
      <w:proofErr w:type="spellEnd"/>
      <w:r w:rsidR="00874997" w:rsidRPr="00874997">
        <w:rPr>
          <w:rFonts w:cs="Arial"/>
          <w:i/>
          <w:color w:val="2E74B5" w:themeColor="accent1" w:themeShade="BF"/>
          <w:sz w:val="20"/>
        </w:rPr>
        <w:t xml:space="preserve"> gomez ramos contralor interno del H. AYUNTAMIENTO DE SAN MARTÍN </w:t>
      </w:r>
      <w:proofErr w:type="spellStart"/>
      <w:r w:rsidR="00874997" w:rsidRPr="00874997">
        <w:rPr>
          <w:rFonts w:cs="Arial"/>
          <w:i/>
          <w:color w:val="2E74B5" w:themeColor="accent1" w:themeShade="BF"/>
          <w:sz w:val="20"/>
        </w:rPr>
        <w:t>Chalchicuautla</w:t>
      </w:r>
      <w:proofErr w:type="spellEnd"/>
      <w:r w:rsidR="00874997" w:rsidRPr="00874997">
        <w:rPr>
          <w:rFonts w:cs="Arial"/>
          <w:i/>
          <w:color w:val="2E74B5" w:themeColor="accent1" w:themeShade="BF"/>
          <w:sz w:val="20"/>
        </w:rPr>
        <w:t xml:space="preserve"> administración 2018 – 2021, solicito me informe por oficio lo siguiente: </w:t>
      </w:r>
    </w:p>
    <w:p w:rsidR="00296982" w:rsidRPr="00991CC6" w:rsidRDefault="00874997" w:rsidP="00991CC6">
      <w:pPr>
        <w:pStyle w:val="corte4fondo"/>
        <w:spacing w:line="276" w:lineRule="auto"/>
        <w:ind w:firstLine="708"/>
        <w:rPr>
          <w:rFonts w:cs="Arial"/>
          <w:i/>
          <w:color w:val="2E74B5" w:themeColor="accent1" w:themeShade="BF"/>
          <w:sz w:val="20"/>
        </w:rPr>
      </w:pPr>
      <w:r w:rsidRPr="00874997">
        <w:rPr>
          <w:rFonts w:cs="Arial"/>
          <w:i/>
          <w:color w:val="2E74B5" w:themeColor="accent1" w:themeShade="BF"/>
          <w:sz w:val="20"/>
        </w:rPr>
        <w:t>Nombre de los servidores públicos que restringieron su declaración patrimonial de bienes</w:t>
      </w:r>
      <w:r w:rsidR="00CE532B" w:rsidRPr="00991CC6">
        <w:rPr>
          <w:rFonts w:cs="Arial"/>
          <w:i/>
          <w:color w:val="2E74B5" w:themeColor="accent1" w:themeShade="BF"/>
          <w:sz w:val="20"/>
        </w:rPr>
        <w:t>.</w:t>
      </w:r>
      <w:r w:rsidR="00296982" w:rsidRPr="00991CC6">
        <w:rPr>
          <w:rFonts w:cs="Arial"/>
          <w:i/>
          <w:color w:val="2E74B5" w:themeColor="accent1" w:themeShade="BF"/>
          <w:sz w:val="20"/>
        </w:rPr>
        <w:t>…”</w:t>
      </w:r>
    </w:p>
    <w:p w:rsidR="00296982" w:rsidRPr="00991CC6" w:rsidRDefault="00296982" w:rsidP="00991CC6">
      <w:pPr>
        <w:pStyle w:val="corte4fondo"/>
        <w:spacing w:line="276" w:lineRule="auto"/>
        <w:rPr>
          <w:rFonts w:cs="Arial"/>
          <w:color w:val="2E74B5" w:themeColor="accent1" w:themeShade="BF"/>
          <w:sz w:val="24"/>
          <w:szCs w:val="24"/>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b/>
          <w:color w:val="2E74B5" w:themeColor="accent1" w:themeShade="BF"/>
          <w:sz w:val="24"/>
          <w:szCs w:val="24"/>
        </w:rPr>
        <w:t xml:space="preserve">SEGUNDO.  Respuesta a la solicitud de acceso a la información pública. </w:t>
      </w:r>
      <w:r w:rsidRPr="00991CC6">
        <w:rPr>
          <w:rFonts w:cs="Arial"/>
          <w:color w:val="2E74B5" w:themeColor="accent1" w:themeShade="BF"/>
          <w:sz w:val="24"/>
          <w:szCs w:val="24"/>
        </w:rPr>
        <w:t xml:space="preserve">El </w:t>
      </w:r>
      <w:r w:rsidR="00334BB5">
        <w:rPr>
          <w:rFonts w:cs="Arial"/>
          <w:color w:val="2E74B5" w:themeColor="accent1" w:themeShade="BF"/>
          <w:sz w:val="24"/>
          <w:szCs w:val="24"/>
        </w:rPr>
        <w:t xml:space="preserve">17 diecisiete </w:t>
      </w:r>
      <w:r w:rsidR="00627088" w:rsidRPr="00991CC6">
        <w:rPr>
          <w:rFonts w:cs="Arial"/>
          <w:color w:val="2E74B5" w:themeColor="accent1" w:themeShade="BF"/>
          <w:sz w:val="24"/>
          <w:szCs w:val="24"/>
        </w:rPr>
        <w:t xml:space="preserve">de </w:t>
      </w:r>
      <w:r w:rsidR="00D24C55" w:rsidRPr="00991CC6">
        <w:rPr>
          <w:rFonts w:cs="Arial"/>
          <w:color w:val="2E74B5" w:themeColor="accent1" w:themeShade="BF"/>
          <w:sz w:val="24"/>
          <w:szCs w:val="24"/>
        </w:rPr>
        <w:t xml:space="preserve">enero </w:t>
      </w:r>
      <w:r w:rsidRPr="00991CC6">
        <w:rPr>
          <w:rFonts w:cs="Arial"/>
          <w:color w:val="2E74B5" w:themeColor="accent1" w:themeShade="BF"/>
          <w:sz w:val="24"/>
          <w:szCs w:val="24"/>
        </w:rPr>
        <w:t>el sujeto obligado</w:t>
      </w:r>
      <w:r w:rsidRPr="00991CC6">
        <w:rPr>
          <w:rFonts w:cs="Arial"/>
          <w:b/>
          <w:color w:val="2E74B5" w:themeColor="accent1" w:themeShade="BF"/>
          <w:sz w:val="24"/>
          <w:szCs w:val="24"/>
        </w:rPr>
        <w:t xml:space="preserve"> </w:t>
      </w:r>
      <w:r w:rsidRPr="00991CC6">
        <w:rPr>
          <w:rFonts w:cs="Arial"/>
          <w:color w:val="2E74B5" w:themeColor="accent1" w:themeShade="BF"/>
          <w:sz w:val="24"/>
          <w:szCs w:val="24"/>
        </w:rPr>
        <w:t>notificó al solicitante, por el mismo medio electrónico, la respuesta a la solicitud de acceso a la información pública, misma que es como sigue</w:t>
      </w:r>
      <w:r w:rsidRPr="00991CC6">
        <w:rPr>
          <w:rFonts w:cs="Arial"/>
          <w:color w:val="2E74B5" w:themeColor="accent1" w:themeShade="BF"/>
          <w:sz w:val="24"/>
          <w:szCs w:val="24"/>
          <w:vertAlign w:val="superscript"/>
        </w:rPr>
        <w:footnoteReference w:id="2"/>
      </w:r>
      <w:r w:rsidRPr="00991CC6">
        <w:rPr>
          <w:rFonts w:cs="Arial"/>
          <w:color w:val="2E74B5" w:themeColor="accent1" w:themeShade="BF"/>
          <w:sz w:val="24"/>
          <w:szCs w:val="24"/>
        </w:rPr>
        <w:t>:</w:t>
      </w:r>
    </w:p>
    <w:p w:rsidR="00F60D37" w:rsidRPr="00991CC6" w:rsidRDefault="00874997" w:rsidP="00991CC6">
      <w:pPr>
        <w:pStyle w:val="corte4fondo"/>
        <w:spacing w:line="276" w:lineRule="auto"/>
        <w:ind w:firstLine="0"/>
        <w:rPr>
          <w:rFonts w:cs="Arial"/>
          <w:i/>
          <w:color w:val="2E74B5" w:themeColor="accent1" w:themeShade="BF"/>
          <w:sz w:val="20"/>
        </w:rPr>
      </w:pPr>
      <w:r>
        <w:rPr>
          <w:rFonts w:cs="Arial"/>
          <w:noProof/>
          <w:color w:val="2E74B5" w:themeColor="accent1" w:themeShade="BF"/>
          <w:sz w:val="24"/>
          <w:szCs w:val="24"/>
        </w:rPr>
        <w:lastRenderedPageBreak/>
        <w:drawing>
          <wp:inline distT="0" distB="0" distL="0" distR="0">
            <wp:extent cx="5600700" cy="16192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600700" cy="1619250"/>
                    </a:xfrm>
                    <a:prstGeom prst="rect">
                      <a:avLst/>
                    </a:prstGeom>
                    <a:noFill/>
                    <a:ln>
                      <a:noFill/>
                    </a:ln>
                  </pic:spPr>
                </pic:pic>
              </a:graphicData>
            </a:graphic>
          </wp:inline>
        </w:drawing>
      </w:r>
    </w:p>
    <w:p w:rsidR="00D24C55" w:rsidRPr="00991CC6" w:rsidRDefault="00D24C55" w:rsidP="00991CC6">
      <w:pPr>
        <w:pStyle w:val="corte4fondo"/>
        <w:spacing w:line="276" w:lineRule="auto"/>
        <w:ind w:firstLine="0"/>
        <w:rPr>
          <w:rFonts w:cs="Arial"/>
          <w:i/>
          <w:color w:val="2E74B5" w:themeColor="accent1" w:themeShade="BF"/>
          <w:sz w:val="20"/>
        </w:rPr>
      </w:pPr>
    </w:p>
    <w:p w:rsidR="00F60D37" w:rsidRPr="00991CC6" w:rsidRDefault="00874997" w:rsidP="00874997">
      <w:pPr>
        <w:pStyle w:val="corte4fondo"/>
        <w:spacing w:line="276" w:lineRule="auto"/>
        <w:ind w:firstLine="0"/>
        <w:jc w:val="center"/>
        <w:rPr>
          <w:rFonts w:cs="Arial"/>
          <w:i/>
          <w:color w:val="2E74B5" w:themeColor="accent1" w:themeShade="BF"/>
          <w:sz w:val="20"/>
        </w:rPr>
      </w:pPr>
      <w:r>
        <w:rPr>
          <w:rFonts w:cs="Arial"/>
          <w:i/>
          <w:noProof/>
          <w:color w:val="2E74B5" w:themeColor="accent1" w:themeShade="BF"/>
          <w:sz w:val="20"/>
        </w:rPr>
        <w:drawing>
          <wp:inline distT="0" distB="0" distL="0" distR="0">
            <wp:extent cx="4953000" cy="53721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953000" cy="5372100"/>
                    </a:xfrm>
                    <a:prstGeom prst="rect">
                      <a:avLst/>
                    </a:prstGeom>
                    <a:noFill/>
                    <a:ln>
                      <a:noFill/>
                    </a:ln>
                  </pic:spPr>
                </pic:pic>
              </a:graphicData>
            </a:graphic>
          </wp:inline>
        </w:drawing>
      </w:r>
    </w:p>
    <w:p w:rsidR="00FF3AF8" w:rsidRPr="00991CC6" w:rsidRDefault="00FF3AF8" w:rsidP="00991CC6">
      <w:pPr>
        <w:pStyle w:val="corte4fondo"/>
        <w:spacing w:line="276" w:lineRule="auto"/>
        <w:ind w:firstLine="0"/>
        <w:rPr>
          <w:rFonts w:cs="Arial"/>
          <w:i/>
          <w:color w:val="2E74B5" w:themeColor="accent1" w:themeShade="BF"/>
          <w:sz w:val="20"/>
        </w:rPr>
      </w:pPr>
    </w:p>
    <w:p w:rsidR="00CE532B" w:rsidRPr="00991CC6" w:rsidRDefault="00CE532B" w:rsidP="00991CC6">
      <w:pPr>
        <w:pStyle w:val="corte4fondo"/>
        <w:spacing w:line="276" w:lineRule="auto"/>
        <w:ind w:firstLine="0"/>
        <w:rPr>
          <w:rFonts w:cs="Arial"/>
          <w:i/>
          <w:color w:val="2E74B5" w:themeColor="accent1" w:themeShade="BF"/>
          <w:sz w:val="20"/>
        </w:rPr>
      </w:pPr>
    </w:p>
    <w:p w:rsidR="00014130" w:rsidRPr="00991CC6" w:rsidRDefault="00DA790D" w:rsidP="00991CC6">
      <w:pPr>
        <w:pStyle w:val="corte4fondo"/>
        <w:spacing w:line="276" w:lineRule="auto"/>
        <w:ind w:firstLine="708"/>
        <w:rPr>
          <w:rFonts w:cs="Arial"/>
          <w:color w:val="2E74B5" w:themeColor="accent1" w:themeShade="BF"/>
          <w:sz w:val="24"/>
          <w:szCs w:val="24"/>
        </w:rPr>
      </w:pPr>
      <w:r>
        <w:rPr>
          <w:rFonts w:cs="Arial"/>
          <w:b/>
          <w:color w:val="2E74B5" w:themeColor="accent1" w:themeShade="BF"/>
          <w:sz w:val="24"/>
          <w:szCs w:val="24"/>
        </w:rPr>
        <w:t>TERCERO</w:t>
      </w:r>
      <w:r w:rsidR="00296982" w:rsidRPr="00991CC6">
        <w:rPr>
          <w:rFonts w:cs="Arial"/>
          <w:b/>
          <w:color w:val="2E74B5" w:themeColor="accent1" w:themeShade="BF"/>
          <w:sz w:val="24"/>
          <w:szCs w:val="24"/>
        </w:rPr>
        <w:t xml:space="preserve">. Interposición del recurso. </w:t>
      </w:r>
      <w:r w:rsidR="00014130" w:rsidRPr="00991CC6">
        <w:rPr>
          <w:rFonts w:cs="Arial"/>
          <w:color w:val="2E74B5" w:themeColor="accent1" w:themeShade="BF"/>
          <w:sz w:val="24"/>
          <w:szCs w:val="24"/>
        </w:rPr>
        <w:t>El</w:t>
      </w:r>
      <w:r w:rsidR="00DB4531" w:rsidRPr="00991CC6">
        <w:rPr>
          <w:rFonts w:cs="Arial"/>
          <w:color w:val="2E74B5" w:themeColor="accent1" w:themeShade="BF"/>
          <w:sz w:val="24"/>
          <w:szCs w:val="24"/>
        </w:rPr>
        <w:t xml:space="preserve"> </w:t>
      </w:r>
      <w:r w:rsidR="00627088" w:rsidRPr="00991CC6">
        <w:rPr>
          <w:rFonts w:cs="Arial"/>
          <w:color w:val="2E74B5" w:themeColor="accent1" w:themeShade="BF"/>
          <w:sz w:val="24"/>
          <w:szCs w:val="24"/>
        </w:rPr>
        <w:t xml:space="preserve">24 veinticuatro </w:t>
      </w:r>
      <w:r w:rsidR="00DB4531" w:rsidRPr="00991CC6">
        <w:rPr>
          <w:rFonts w:cs="Arial"/>
          <w:color w:val="2E74B5" w:themeColor="accent1" w:themeShade="BF"/>
          <w:sz w:val="24"/>
          <w:szCs w:val="24"/>
        </w:rPr>
        <w:t>de enero de 2019 dos mil diecinueve</w:t>
      </w:r>
      <w:r w:rsidR="00014130" w:rsidRPr="00991CC6">
        <w:rPr>
          <w:rFonts w:cs="Arial"/>
          <w:color w:val="2E74B5" w:themeColor="accent1" w:themeShade="BF"/>
          <w:sz w:val="24"/>
          <w:szCs w:val="24"/>
        </w:rPr>
        <w:t>, a través de la Plataforma Nacional de Transparencia, el solicitante de la información interpuso recurso de revisión contra la respuesta mencionada en el punto anterior, mismo que quedó presentado ante la Oficialía de Partes de esta Comisión Estatal de Garantía de Acceso a la Información Pública el</w:t>
      </w:r>
      <w:r w:rsidR="00D24C55" w:rsidRPr="00991CC6">
        <w:rPr>
          <w:rFonts w:cs="Arial"/>
          <w:color w:val="2E74B5" w:themeColor="accent1" w:themeShade="BF"/>
          <w:sz w:val="24"/>
          <w:szCs w:val="24"/>
        </w:rPr>
        <w:t xml:space="preserve"> mismo </w:t>
      </w:r>
      <w:r w:rsidR="00014130" w:rsidRPr="00991CC6">
        <w:rPr>
          <w:rFonts w:cs="Arial"/>
          <w:color w:val="2E74B5" w:themeColor="accent1" w:themeShade="BF"/>
          <w:sz w:val="24"/>
          <w:szCs w:val="24"/>
        </w:rPr>
        <w:t xml:space="preserve">día. </w:t>
      </w:r>
    </w:p>
    <w:p w:rsidR="00296982" w:rsidRPr="00991CC6" w:rsidRDefault="00296982" w:rsidP="00991CC6">
      <w:pPr>
        <w:pStyle w:val="corte4fondo"/>
        <w:spacing w:line="276" w:lineRule="auto"/>
        <w:rPr>
          <w:rFonts w:cs="Arial"/>
          <w:color w:val="2E74B5" w:themeColor="accent1" w:themeShade="BF"/>
          <w:sz w:val="24"/>
          <w:szCs w:val="24"/>
        </w:rPr>
      </w:pPr>
    </w:p>
    <w:p w:rsidR="00296982" w:rsidRPr="00991CC6" w:rsidRDefault="00DA790D" w:rsidP="00991CC6">
      <w:pPr>
        <w:spacing w:after="0"/>
        <w:ind w:firstLine="709"/>
        <w:jc w:val="both"/>
        <w:rPr>
          <w:rFonts w:ascii="Arial" w:eastAsia="Times New Roman" w:hAnsi="Arial" w:cs="Arial"/>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CUARTO</w:t>
      </w:r>
      <w:r w:rsidR="00296982" w:rsidRPr="00991CC6">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00296982" w:rsidRPr="00991CC6">
        <w:rPr>
          <w:rFonts w:ascii="Arial" w:eastAsia="Times New Roman" w:hAnsi="Arial" w:cs="Arial"/>
          <w:color w:val="2E74B5" w:themeColor="accent1" w:themeShade="BF"/>
          <w:sz w:val="24"/>
          <w:szCs w:val="24"/>
          <w:lang w:eastAsia="es-MX"/>
        </w:rPr>
        <w:t xml:space="preserve">Mediante auto del </w:t>
      </w:r>
      <w:r w:rsidR="003A1FE8" w:rsidRPr="00991CC6">
        <w:rPr>
          <w:rFonts w:ascii="Arial" w:eastAsia="Times New Roman" w:hAnsi="Arial" w:cs="Arial"/>
          <w:color w:val="2E74B5" w:themeColor="accent1" w:themeShade="BF"/>
          <w:sz w:val="24"/>
          <w:szCs w:val="24"/>
          <w:lang w:eastAsia="es-MX"/>
        </w:rPr>
        <w:t xml:space="preserve">25 veinticinco </w:t>
      </w:r>
      <w:r w:rsidR="00733C19" w:rsidRPr="00991CC6">
        <w:rPr>
          <w:rFonts w:ascii="Arial" w:hAnsi="Arial" w:cs="Arial"/>
          <w:color w:val="2E74B5" w:themeColor="accent1" w:themeShade="BF"/>
          <w:sz w:val="24"/>
          <w:szCs w:val="24"/>
        </w:rPr>
        <w:t>de enero</w:t>
      </w:r>
      <w:r w:rsidR="00DB4531" w:rsidRPr="00991CC6">
        <w:rPr>
          <w:rFonts w:ascii="Arial" w:hAnsi="Arial" w:cs="Arial"/>
          <w:color w:val="2E74B5" w:themeColor="accent1" w:themeShade="BF"/>
          <w:sz w:val="24"/>
          <w:szCs w:val="24"/>
        </w:rPr>
        <w:t xml:space="preserve"> de 2019 dos mil diecinueve, </w:t>
      </w:r>
      <w:r w:rsidR="00296982" w:rsidRPr="00991CC6">
        <w:rPr>
          <w:rFonts w:ascii="Arial" w:eastAsia="Times New Roman" w:hAnsi="Arial" w:cs="Arial"/>
          <w:color w:val="2E74B5" w:themeColor="accent1" w:themeShade="BF"/>
          <w:sz w:val="24"/>
          <w:szCs w:val="24"/>
          <w:lang w:eastAsia="es-MX"/>
        </w:rPr>
        <w:t xml:space="preserve">la presidencia de esta Comisión </w:t>
      </w:r>
      <w:r w:rsidR="00296982" w:rsidRPr="00991CC6">
        <w:rPr>
          <w:rFonts w:ascii="Arial" w:eastAsia="Times New Roman" w:hAnsi="Arial" w:cs="Arial"/>
          <w:color w:val="2E74B5" w:themeColor="accent1" w:themeShade="BF"/>
          <w:sz w:val="24"/>
          <w:szCs w:val="24"/>
          <w:lang w:eastAsia="es-MX"/>
        </w:rPr>
        <w:lastRenderedPageBreak/>
        <w:t xml:space="preserve">de Transparencia tuvo por recibido el recurso de revisión, por lo que, por razón de turno, tocó conocer a la ponencia de la Licenciada Paulina Sánchez Pérez del Pozo por lo que se le turnó dicho expediente para que procediera, previo su análisis, a su admisión o </w:t>
      </w:r>
      <w:proofErr w:type="spellStart"/>
      <w:r w:rsidR="00296982" w:rsidRPr="00991CC6">
        <w:rPr>
          <w:rFonts w:ascii="Arial" w:eastAsia="Times New Roman" w:hAnsi="Arial" w:cs="Arial"/>
          <w:color w:val="2E74B5" w:themeColor="accent1" w:themeShade="BF"/>
          <w:sz w:val="24"/>
          <w:szCs w:val="24"/>
          <w:lang w:eastAsia="es-MX"/>
        </w:rPr>
        <w:t>desechamiento</w:t>
      </w:r>
      <w:proofErr w:type="spellEnd"/>
      <w:r w:rsidR="00296982" w:rsidRPr="00991CC6">
        <w:rPr>
          <w:rFonts w:ascii="Arial" w:eastAsia="Times New Roman" w:hAnsi="Arial" w:cs="Arial"/>
          <w:color w:val="2E74B5" w:themeColor="accent1" w:themeShade="BF"/>
          <w:sz w:val="24"/>
          <w:szCs w:val="24"/>
          <w:lang w:eastAsia="es-MX"/>
        </w:rPr>
        <w:t xml:space="preserve"> según fuera el caso.</w:t>
      </w:r>
    </w:p>
    <w:p w:rsidR="00296982" w:rsidRPr="00991CC6" w:rsidRDefault="00296982" w:rsidP="00991CC6">
      <w:pPr>
        <w:pStyle w:val="corte4fondo"/>
        <w:spacing w:line="276" w:lineRule="auto"/>
        <w:rPr>
          <w:rFonts w:cs="Arial"/>
          <w:i/>
          <w:color w:val="2E74B5" w:themeColor="accent1" w:themeShade="BF"/>
          <w:sz w:val="24"/>
          <w:szCs w:val="24"/>
        </w:rPr>
      </w:pPr>
    </w:p>
    <w:p w:rsidR="00296982" w:rsidRPr="00991CC6" w:rsidRDefault="00DA790D" w:rsidP="00991CC6">
      <w:pPr>
        <w:pStyle w:val="corte4fondo"/>
        <w:spacing w:line="276" w:lineRule="auto"/>
        <w:rPr>
          <w:rFonts w:cs="Arial"/>
          <w:color w:val="2E74B5" w:themeColor="accent1" w:themeShade="BF"/>
          <w:sz w:val="24"/>
          <w:szCs w:val="24"/>
        </w:rPr>
      </w:pPr>
      <w:r>
        <w:rPr>
          <w:rFonts w:cs="Arial"/>
          <w:b/>
          <w:color w:val="2E74B5" w:themeColor="accent1" w:themeShade="BF"/>
          <w:sz w:val="24"/>
          <w:szCs w:val="24"/>
        </w:rPr>
        <w:t>QUINTO</w:t>
      </w:r>
      <w:r w:rsidR="00296982" w:rsidRPr="00991CC6">
        <w:rPr>
          <w:rFonts w:cs="Arial"/>
          <w:b/>
          <w:color w:val="2E74B5" w:themeColor="accent1" w:themeShade="BF"/>
          <w:sz w:val="24"/>
          <w:szCs w:val="24"/>
        </w:rPr>
        <w:t xml:space="preserve">. Auto de admisión y trámite. </w:t>
      </w:r>
      <w:r w:rsidR="00733C19" w:rsidRPr="00991CC6">
        <w:rPr>
          <w:rFonts w:cs="Arial"/>
          <w:color w:val="2E74B5" w:themeColor="accent1" w:themeShade="BF"/>
          <w:sz w:val="24"/>
          <w:szCs w:val="24"/>
        </w:rPr>
        <w:t xml:space="preserve">Por proveído del </w:t>
      </w:r>
      <w:r w:rsidR="009544B7">
        <w:rPr>
          <w:rFonts w:cs="Arial"/>
          <w:color w:val="2E74B5" w:themeColor="accent1" w:themeShade="BF"/>
          <w:sz w:val="24"/>
          <w:szCs w:val="24"/>
        </w:rPr>
        <w:t xml:space="preserve">05 cinco de febrero </w:t>
      </w:r>
      <w:r w:rsidR="00296982" w:rsidRPr="00991CC6">
        <w:rPr>
          <w:rFonts w:cs="Arial"/>
          <w:color w:val="2E74B5" w:themeColor="accent1" w:themeShade="BF"/>
          <w:sz w:val="24"/>
          <w:szCs w:val="24"/>
        </w:rPr>
        <w:t xml:space="preserve">de </w:t>
      </w:r>
      <w:r w:rsidR="006E10BB" w:rsidRPr="00991CC6">
        <w:rPr>
          <w:rFonts w:cs="Arial"/>
          <w:color w:val="2E74B5" w:themeColor="accent1" w:themeShade="BF"/>
          <w:sz w:val="24"/>
          <w:szCs w:val="24"/>
        </w:rPr>
        <w:t xml:space="preserve">2019 dos mil diecinueve </w:t>
      </w:r>
      <w:r w:rsidR="00296982" w:rsidRPr="00991CC6">
        <w:rPr>
          <w:rFonts w:cs="Arial"/>
          <w:color w:val="2E74B5" w:themeColor="accent1" w:themeShade="BF"/>
          <w:sz w:val="24"/>
          <w:szCs w:val="24"/>
        </w:rPr>
        <w:t xml:space="preserve">la Comisionado Ponente, acordó la admisión del recurso de revisión por actualizarse la hipótesis establecida en la fracción </w:t>
      </w:r>
      <w:r w:rsidR="00DB4531" w:rsidRPr="00991CC6">
        <w:rPr>
          <w:rFonts w:cs="Arial"/>
          <w:color w:val="2E74B5" w:themeColor="accent1" w:themeShade="BF"/>
          <w:sz w:val="24"/>
          <w:szCs w:val="24"/>
        </w:rPr>
        <w:t xml:space="preserve">V </w:t>
      </w:r>
      <w:r w:rsidR="00296982" w:rsidRPr="00991CC6">
        <w:rPr>
          <w:rFonts w:cs="Arial"/>
          <w:color w:val="2E74B5" w:themeColor="accent1" w:themeShade="BF"/>
          <w:sz w:val="24"/>
          <w:szCs w:val="24"/>
        </w:rPr>
        <w:t>del artículo 167 de la Ley de Transparencia y Acceso a la Información Pública del Estado, de la misma manera:</w:t>
      </w:r>
    </w:p>
    <w:p w:rsidR="00A04BD5" w:rsidRPr="00991CC6" w:rsidRDefault="00A04BD5" w:rsidP="00991CC6">
      <w:pPr>
        <w:pStyle w:val="corte4fondo"/>
        <w:spacing w:line="276" w:lineRule="auto"/>
        <w:ind w:left="1510" w:firstLine="0"/>
        <w:rPr>
          <w:rFonts w:cs="Arial"/>
          <w:color w:val="2E74B5" w:themeColor="accent1" w:themeShade="BF"/>
          <w:sz w:val="24"/>
          <w:szCs w:val="24"/>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numPr>
          <w:ilvl w:val="0"/>
          <w:numId w:val="1"/>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Se encontraba en sus archivos.</w:t>
      </w:r>
    </w:p>
    <w:p w:rsidR="00296982" w:rsidRPr="00991CC6" w:rsidRDefault="00296982" w:rsidP="00991CC6">
      <w:pPr>
        <w:numPr>
          <w:ilvl w:val="0"/>
          <w:numId w:val="1"/>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296982" w:rsidRPr="00991CC6" w:rsidRDefault="00296982" w:rsidP="00991CC6">
      <w:pPr>
        <w:numPr>
          <w:ilvl w:val="0"/>
          <w:numId w:val="1"/>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D109C0" w:rsidRPr="00991CC6" w:rsidRDefault="00D109C0" w:rsidP="00991CC6">
      <w:pPr>
        <w:spacing w:after="0"/>
        <w:ind w:firstLine="709"/>
        <w:jc w:val="both"/>
        <w:rPr>
          <w:rFonts w:ascii="Arial" w:eastAsia="Times New Roman" w:hAnsi="Arial" w:cs="Arial"/>
          <w:color w:val="2E74B5" w:themeColor="accent1" w:themeShade="BF"/>
          <w:sz w:val="24"/>
          <w:szCs w:val="24"/>
          <w:lang w:eastAsia="es-MX"/>
        </w:rPr>
      </w:pPr>
    </w:p>
    <w:p w:rsidR="00D109C0" w:rsidRPr="00991CC6" w:rsidRDefault="00D109C0"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hAnsi="Arial" w:cs="Arial"/>
          <w:color w:val="2E74B5" w:themeColor="accent1" w:themeShade="BF"/>
          <w:sz w:val="24"/>
          <w:szCs w:val="24"/>
        </w:rPr>
        <w:t>Finalmente, la ponente decretó la ampliación del plazo para resolver el presente asunto</w:t>
      </w:r>
      <w:r w:rsidRPr="00991CC6">
        <w:rPr>
          <w:rFonts w:ascii="Arial" w:hAnsi="Arial" w:cs="Arial"/>
          <w:color w:val="2E74B5" w:themeColor="accent1" w:themeShade="BF"/>
          <w:sz w:val="24"/>
          <w:szCs w:val="24"/>
          <w:lang w:val="es-ES"/>
        </w:rPr>
        <w:t xml:space="preserve">, en virtud  la distancia del domicilio para oír y recibir las notificaciones de las partes, ello </w:t>
      </w:r>
      <w:r w:rsidRPr="00991CC6">
        <w:rPr>
          <w:rFonts w:ascii="Arial" w:hAnsi="Arial" w:cs="Arial"/>
          <w:color w:val="2E74B5" w:themeColor="accent1" w:themeShade="BF"/>
          <w:sz w:val="24"/>
          <w:szCs w:val="24"/>
        </w:rPr>
        <w:t>de conformidad con el Lineamiento Décimo Noveno de los Lineamientos para la Recepción, Sustanciación, Resolución</w:t>
      </w:r>
      <w:r w:rsidRPr="00991CC6">
        <w:rPr>
          <w:rFonts w:ascii="Arial" w:hAnsi="Arial"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 </w:t>
      </w:r>
      <w:r w:rsidRPr="00991CC6">
        <w:rPr>
          <w:rFonts w:ascii="Arial" w:hAnsi="Arial" w:cs="Arial"/>
          <w:color w:val="2E74B5" w:themeColor="accent1" w:themeShade="BF"/>
          <w:sz w:val="24"/>
          <w:szCs w:val="24"/>
        </w:rPr>
        <w:t xml:space="preserve">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A263FF" w:rsidRDefault="00DA790D" w:rsidP="00991CC6">
      <w:pPr>
        <w:pStyle w:val="corte4fondo"/>
        <w:spacing w:line="276" w:lineRule="auto"/>
        <w:ind w:firstLine="708"/>
        <w:rPr>
          <w:rFonts w:cs="Arial"/>
          <w:color w:val="2E74B5" w:themeColor="accent1" w:themeShade="BF"/>
          <w:sz w:val="24"/>
          <w:szCs w:val="24"/>
        </w:rPr>
      </w:pPr>
      <w:r w:rsidRPr="00A263FF">
        <w:rPr>
          <w:rFonts w:cs="Arial"/>
          <w:b/>
          <w:color w:val="2E74B5" w:themeColor="accent1" w:themeShade="BF"/>
          <w:sz w:val="24"/>
          <w:szCs w:val="24"/>
        </w:rPr>
        <w:t>SEXTO</w:t>
      </w:r>
      <w:r w:rsidR="00D521BF" w:rsidRPr="00A263FF">
        <w:rPr>
          <w:rFonts w:cs="Arial"/>
          <w:b/>
          <w:color w:val="2E74B5" w:themeColor="accent1" w:themeShade="BF"/>
          <w:sz w:val="24"/>
          <w:szCs w:val="24"/>
        </w:rPr>
        <w:t xml:space="preserve">. </w:t>
      </w:r>
      <w:r w:rsidR="00296982" w:rsidRPr="00A263FF">
        <w:rPr>
          <w:rFonts w:cs="Arial"/>
          <w:b/>
          <w:color w:val="2E74B5" w:themeColor="accent1" w:themeShade="BF"/>
          <w:sz w:val="24"/>
          <w:szCs w:val="24"/>
        </w:rPr>
        <w:t>Informe del sujeto obligado</w:t>
      </w:r>
      <w:r w:rsidR="00296982" w:rsidRPr="00A263FF">
        <w:rPr>
          <w:rFonts w:cs="Arial"/>
          <w:color w:val="2E74B5" w:themeColor="accent1" w:themeShade="BF"/>
          <w:sz w:val="24"/>
          <w:szCs w:val="24"/>
        </w:rPr>
        <w:t xml:space="preserve">. Por proveído del </w:t>
      </w:r>
      <w:r w:rsidR="00334BB5" w:rsidRPr="00A263FF">
        <w:rPr>
          <w:rFonts w:cs="Arial"/>
          <w:color w:val="2E74B5" w:themeColor="accent1" w:themeShade="BF"/>
          <w:sz w:val="24"/>
          <w:szCs w:val="24"/>
        </w:rPr>
        <w:t xml:space="preserve">15 quince </w:t>
      </w:r>
      <w:r w:rsidR="00733C19" w:rsidRPr="00A263FF">
        <w:rPr>
          <w:rFonts w:cs="Arial"/>
          <w:color w:val="2E74B5" w:themeColor="accent1" w:themeShade="BF"/>
          <w:sz w:val="24"/>
          <w:szCs w:val="24"/>
        </w:rPr>
        <w:t>de marzo</w:t>
      </w:r>
      <w:r w:rsidR="00D521BF" w:rsidRPr="00A263FF">
        <w:rPr>
          <w:rFonts w:cs="Arial"/>
          <w:color w:val="2E74B5" w:themeColor="accent1" w:themeShade="BF"/>
          <w:sz w:val="24"/>
          <w:szCs w:val="24"/>
        </w:rPr>
        <w:t xml:space="preserve"> </w:t>
      </w:r>
      <w:r w:rsidR="00296982" w:rsidRPr="00A263FF">
        <w:rPr>
          <w:rFonts w:cs="Arial"/>
          <w:color w:val="2E74B5" w:themeColor="accent1" w:themeShade="BF"/>
          <w:sz w:val="24"/>
          <w:szCs w:val="24"/>
        </w:rPr>
        <w:t>de 2019 dos mil diecinueve la ponente del presente asunto tuvo:</w:t>
      </w:r>
    </w:p>
    <w:p w:rsidR="00296982" w:rsidRPr="00A263FF" w:rsidRDefault="00296982" w:rsidP="00991CC6">
      <w:pPr>
        <w:pStyle w:val="corte4fondo"/>
        <w:spacing w:line="276" w:lineRule="auto"/>
        <w:ind w:firstLine="567"/>
        <w:rPr>
          <w:rFonts w:cs="Arial"/>
          <w:b/>
          <w:color w:val="2E74B5" w:themeColor="accent1" w:themeShade="BF"/>
          <w:sz w:val="24"/>
          <w:szCs w:val="24"/>
        </w:rPr>
      </w:pPr>
    </w:p>
    <w:p w:rsidR="00D521BF" w:rsidRPr="00A263FF" w:rsidRDefault="00D109C0" w:rsidP="00991CC6">
      <w:pPr>
        <w:pStyle w:val="corte4fondo"/>
        <w:numPr>
          <w:ilvl w:val="0"/>
          <w:numId w:val="4"/>
        </w:numPr>
        <w:spacing w:line="276" w:lineRule="auto"/>
        <w:rPr>
          <w:rFonts w:cs="Arial"/>
          <w:color w:val="2E74B5" w:themeColor="accent1" w:themeShade="BF"/>
          <w:sz w:val="24"/>
          <w:szCs w:val="24"/>
        </w:rPr>
      </w:pPr>
      <w:r w:rsidRPr="00A263FF">
        <w:rPr>
          <w:rFonts w:cs="Arial"/>
          <w:color w:val="2E74B5" w:themeColor="accent1" w:themeShade="BF"/>
          <w:sz w:val="24"/>
          <w:szCs w:val="24"/>
        </w:rPr>
        <w:t>Por recibido el oficio 24</w:t>
      </w:r>
      <w:r w:rsidR="00A263FF" w:rsidRPr="00A263FF">
        <w:rPr>
          <w:rFonts w:cs="Arial"/>
          <w:color w:val="2E74B5" w:themeColor="accent1" w:themeShade="BF"/>
          <w:sz w:val="24"/>
          <w:szCs w:val="24"/>
        </w:rPr>
        <w:t>8</w:t>
      </w:r>
      <w:r w:rsidR="00D521BF" w:rsidRPr="00A263FF">
        <w:rPr>
          <w:rFonts w:cs="Arial"/>
          <w:color w:val="2E74B5" w:themeColor="accent1" w:themeShade="BF"/>
          <w:sz w:val="24"/>
          <w:szCs w:val="24"/>
        </w:rPr>
        <w:t xml:space="preserve">, firmado por la </w:t>
      </w:r>
      <w:r w:rsidR="00D521BF" w:rsidRPr="00A263FF">
        <w:rPr>
          <w:rFonts w:cs="Arial"/>
          <w:b/>
          <w:color w:val="2E74B5" w:themeColor="accent1" w:themeShade="BF"/>
          <w:sz w:val="24"/>
          <w:szCs w:val="24"/>
        </w:rPr>
        <w:t>TITULAR DE LA UNIDAD DE TRANSPARENCIA</w:t>
      </w:r>
      <w:r w:rsidR="00D521BF" w:rsidRPr="00A263FF">
        <w:rPr>
          <w:rFonts w:cs="Arial"/>
          <w:color w:val="2E74B5" w:themeColor="accent1" w:themeShade="BF"/>
          <w:sz w:val="24"/>
          <w:szCs w:val="24"/>
        </w:rPr>
        <w:t xml:space="preserve"> del sujeto obligado junto con anexo</w:t>
      </w:r>
      <w:r w:rsidR="00A263FF" w:rsidRPr="00A263FF">
        <w:rPr>
          <w:rFonts w:cs="Arial"/>
          <w:color w:val="2E74B5" w:themeColor="accent1" w:themeShade="BF"/>
          <w:sz w:val="24"/>
          <w:szCs w:val="24"/>
        </w:rPr>
        <w:t>s</w:t>
      </w:r>
      <w:r w:rsidR="00D521BF" w:rsidRPr="00A263FF">
        <w:rPr>
          <w:rFonts w:cs="Arial"/>
          <w:color w:val="2E74B5" w:themeColor="accent1" w:themeShade="BF"/>
          <w:sz w:val="24"/>
          <w:szCs w:val="24"/>
        </w:rPr>
        <w:t>.</w:t>
      </w:r>
      <w:r w:rsidR="00D521BF" w:rsidRPr="00A263FF">
        <w:rPr>
          <w:rFonts w:cs="Arial"/>
          <w:b/>
          <w:color w:val="2E74B5" w:themeColor="accent1" w:themeShade="BF"/>
          <w:sz w:val="24"/>
          <w:szCs w:val="24"/>
        </w:rPr>
        <w:t xml:space="preserve"> </w:t>
      </w:r>
    </w:p>
    <w:p w:rsidR="00D521BF" w:rsidRPr="00A263FF" w:rsidRDefault="00D521BF" w:rsidP="00991CC6">
      <w:pPr>
        <w:pStyle w:val="corte4fondo"/>
        <w:numPr>
          <w:ilvl w:val="0"/>
          <w:numId w:val="4"/>
        </w:numPr>
        <w:spacing w:line="276" w:lineRule="auto"/>
        <w:rPr>
          <w:rFonts w:cs="Arial"/>
          <w:color w:val="2E74B5" w:themeColor="accent1" w:themeShade="BF"/>
          <w:sz w:val="24"/>
          <w:szCs w:val="24"/>
        </w:rPr>
      </w:pPr>
      <w:r w:rsidRPr="00A263FF">
        <w:rPr>
          <w:rFonts w:cs="Arial"/>
          <w:color w:val="2E74B5" w:themeColor="accent1" w:themeShade="BF"/>
          <w:sz w:val="24"/>
          <w:szCs w:val="24"/>
        </w:rPr>
        <w:t xml:space="preserve">Por reconocida su personalidad. </w:t>
      </w:r>
    </w:p>
    <w:p w:rsidR="00D521BF" w:rsidRPr="00A263FF" w:rsidRDefault="00D521BF" w:rsidP="00991CC6">
      <w:pPr>
        <w:pStyle w:val="corte4fondo"/>
        <w:numPr>
          <w:ilvl w:val="0"/>
          <w:numId w:val="4"/>
        </w:numPr>
        <w:spacing w:line="276" w:lineRule="auto"/>
        <w:rPr>
          <w:rFonts w:cs="Arial"/>
          <w:color w:val="2E74B5" w:themeColor="accent1" w:themeShade="BF"/>
          <w:sz w:val="24"/>
          <w:szCs w:val="24"/>
        </w:rPr>
      </w:pPr>
      <w:r w:rsidRPr="00A263FF">
        <w:rPr>
          <w:rFonts w:cs="Arial"/>
          <w:color w:val="2E74B5" w:themeColor="accent1" w:themeShade="BF"/>
          <w:sz w:val="24"/>
          <w:szCs w:val="24"/>
        </w:rPr>
        <w:lastRenderedPageBreak/>
        <w:t>Por expresados los argumentos relacionados con el presente asunto.</w:t>
      </w:r>
    </w:p>
    <w:p w:rsidR="00D521BF" w:rsidRPr="00A263FF" w:rsidRDefault="00D521BF" w:rsidP="00991CC6">
      <w:pPr>
        <w:pStyle w:val="corte4fondo"/>
        <w:numPr>
          <w:ilvl w:val="0"/>
          <w:numId w:val="4"/>
        </w:numPr>
        <w:spacing w:line="276" w:lineRule="auto"/>
        <w:rPr>
          <w:rFonts w:cs="Arial"/>
          <w:color w:val="2E74B5" w:themeColor="accent1" w:themeShade="BF"/>
          <w:sz w:val="24"/>
          <w:szCs w:val="24"/>
        </w:rPr>
      </w:pPr>
      <w:r w:rsidRPr="00A263FF">
        <w:rPr>
          <w:rFonts w:cs="Arial"/>
          <w:color w:val="2E74B5" w:themeColor="accent1" w:themeShade="BF"/>
          <w:sz w:val="24"/>
          <w:szCs w:val="24"/>
        </w:rPr>
        <w:t>Por ofrecidas las pruebas documentales que adjuntó al oficio de cuenta.</w:t>
      </w:r>
    </w:p>
    <w:p w:rsidR="00296982" w:rsidRPr="00991CC6" w:rsidRDefault="00296982" w:rsidP="00991CC6">
      <w:pPr>
        <w:spacing w:after="0"/>
        <w:ind w:firstLine="708"/>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8"/>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Respecto de la parte recurrente, esta Comisión advirtió que no compareció a realizar las manifestaciones que a su derecho conviniera - ofrecer pruebas y alegar.</w:t>
      </w:r>
    </w:p>
    <w:p w:rsidR="00296982" w:rsidRPr="00991CC6" w:rsidRDefault="00296982" w:rsidP="00991CC6">
      <w:pPr>
        <w:spacing w:after="0"/>
        <w:jc w:val="both"/>
        <w:rPr>
          <w:rFonts w:ascii="Arial" w:eastAsia="Times New Roman" w:hAnsi="Arial" w:cs="Arial"/>
          <w:color w:val="2E74B5" w:themeColor="accent1" w:themeShade="BF"/>
          <w:sz w:val="24"/>
          <w:szCs w:val="24"/>
          <w:lang w:eastAsia="es-MX"/>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color w:val="2E74B5" w:themeColor="accent1" w:themeShade="BF"/>
          <w:sz w:val="24"/>
          <w:szCs w:val="24"/>
        </w:rPr>
        <w:t>Para concluir, la ponente declaró cerrado el periodo de instrucción y procedió a elaborar el proyecto de resolución respectivo.</w:t>
      </w:r>
    </w:p>
    <w:p w:rsidR="00296982" w:rsidRPr="00991CC6" w:rsidRDefault="00296982" w:rsidP="00991CC6">
      <w:pPr>
        <w:spacing w:after="0"/>
        <w:jc w:val="both"/>
        <w:rPr>
          <w:rFonts w:ascii="Arial" w:eastAsia="Times New Roman" w:hAnsi="Arial" w:cs="Arial"/>
          <w:color w:val="2E74B5" w:themeColor="accent1" w:themeShade="BF"/>
          <w:sz w:val="24"/>
          <w:szCs w:val="24"/>
          <w:lang w:eastAsia="es-MX"/>
        </w:rPr>
      </w:pPr>
    </w:p>
    <w:p w:rsidR="00296982" w:rsidRPr="00991CC6" w:rsidRDefault="00296982" w:rsidP="00991CC6">
      <w:pPr>
        <w:autoSpaceDE w:val="0"/>
        <w:autoSpaceDN w:val="0"/>
        <w:adjustRightInd w:val="0"/>
        <w:spacing w:after="0"/>
        <w:jc w:val="center"/>
        <w:rPr>
          <w:rFonts w:ascii="Arial" w:hAnsi="Arial" w:cs="Arial"/>
          <w:b/>
          <w:color w:val="2E74B5" w:themeColor="accent1" w:themeShade="BF"/>
          <w:sz w:val="24"/>
          <w:szCs w:val="24"/>
        </w:rPr>
      </w:pPr>
      <w:r w:rsidRPr="00991CC6">
        <w:rPr>
          <w:rFonts w:ascii="Arial" w:hAnsi="Arial" w:cs="Arial"/>
          <w:b/>
          <w:color w:val="2E74B5" w:themeColor="accent1" w:themeShade="BF"/>
          <w:sz w:val="24"/>
          <w:szCs w:val="24"/>
        </w:rPr>
        <w:t>C O N S I D E R A N D O</w:t>
      </w:r>
    </w:p>
    <w:p w:rsidR="00296982" w:rsidRPr="00991CC6" w:rsidRDefault="00296982" w:rsidP="00991CC6">
      <w:pPr>
        <w:autoSpaceDE w:val="0"/>
        <w:autoSpaceDN w:val="0"/>
        <w:adjustRightInd w:val="0"/>
        <w:spacing w:after="0"/>
        <w:jc w:val="center"/>
        <w:rPr>
          <w:rFonts w:ascii="Arial" w:hAnsi="Arial" w:cs="Arial"/>
          <w:color w:val="2E74B5" w:themeColor="accent1" w:themeShade="BF"/>
          <w:sz w:val="24"/>
          <w:szCs w:val="24"/>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 xml:space="preserve">PRIMERO. Competencia. </w:t>
      </w:r>
      <w:r w:rsidRPr="00991CC6">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 xml:space="preserve">SEGUNDO. Procedencia. </w:t>
      </w:r>
      <w:r w:rsidRPr="00991CC6">
        <w:rPr>
          <w:rFonts w:ascii="Arial" w:eastAsia="Times New Roman" w:hAnsi="Arial" w:cs="Arial"/>
          <w:color w:val="2E74B5" w:themeColor="accent1" w:themeShade="BF"/>
          <w:sz w:val="24"/>
          <w:szCs w:val="24"/>
          <w:lang w:eastAsia="es-MX"/>
        </w:rPr>
        <w:t>El presente recurso de revisión es procedente en términos del artículo 166 de la Ley de Transparencia y Acceso a la Información Pública del Estado ya que el recurrente se inconforma por la respuesta a su solicitud de acceso a la información pública</w:t>
      </w:r>
      <w:r w:rsidR="00661569" w:rsidRPr="00991CC6">
        <w:rPr>
          <w:rFonts w:ascii="Arial" w:eastAsia="Times New Roman" w:hAnsi="Arial" w:cs="Arial"/>
          <w:color w:val="2E74B5" w:themeColor="accent1" w:themeShade="BF"/>
          <w:sz w:val="24"/>
          <w:szCs w:val="24"/>
          <w:lang w:eastAsia="es-MX"/>
        </w:rPr>
        <w:t xml:space="preserve"> emitida </w:t>
      </w:r>
      <w:r w:rsidRPr="00991CC6">
        <w:rPr>
          <w:rFonts w:ascii="Arial" w:eastAsia="Times New Roman" w:hAnsi="Arial" w:cs="Arial"/>
          <w:color w:val="2E74B5" w:themeColor="accent1" w:themeShade="BF"/>
          <w:sz w:val="24"/>
          <w:szCs w:val="24"/>
          <w:lang w:eastAsia="es-MX"/>
        </w:rPr>
        <w:t xml:space="preserve">por parte del sujeto obligado. </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TERCERO. Oportunidad del recurso</w:t>
      </w:r>
      <w:r w:rsidRPr="00991CC6">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296982" w:rsidRPr="00991CC6" w:rsidRDefault="00296982" w:rsidP="00991CC6">
      <w:pPr>
        <w:spacing w:after="0"/>
        <w:ind w:firstLine="709"/>
        <w:jc w:val="both"/>
        <w:rPr>
          <w:rFonts w:ascii="Arial" w:eastAsia="Times New Roman" w:hAnsi="Arial" w:cs="Arial"/>
          <w:color w:val="2E74B5" w:themeColor="accent1" w:themeShade="BF"/>
          <w:sz w:val="24"/>
          <w:szCs w:val="24"/>
          <w:lang w:eastAsia="es-MX"/>
        </w:rPr>
      </w:pPr>
    </w:p>
    <w:p w:rsidR="00E84268" w:rsidRPr="00991CC6" w:rsidRDefault="00E84268" w:rsidP="00991CC6">
      <w:pPr>
        <w:numPr>
          <w:ilvl w:val="0"/>
          <w:numId w:val="3"/>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 xml:space="preserve">El </w:t>
      </w:r>
      <w:r w:rsidR="00A263FF">
        <w:rPr>
          <w:rFonts w:ascii="Arial" w:eastAsia="Times New Roman" w:hAnsi="Arial" w:cs="Arial"/>
          <w:color w:val="2E74B5" w:themeColor="accent1" w:themeShade="BF"/>
          <w:sz w:val="24"/>
          <w:szCs w:val="24"/>
          <w:lang w:eastAsia="es-MX"/>
        </w:rPr>
        <w:t xml:space="preserve">17 diecisiete </w:t>
      </w:r>
      <w:r w:rsidR="00733C19" w:rsidRPr="00991CC6">
        <w:rPr>
          <w:rFonts w:ascii="Arial" w:eastAsia="Times New Roman" w:hAnsi="Arial" w:cs="Arial"/>
          <w:color w:val="2E74B5" w:themeColor="accent1" w:themeShade="BF"/>
          <w:sz w:val="24"/>
          <w:szCs w:val="24"/>
          <w:lang w:eastAsia="es-MX"/>
        </w:rPr>
        <w:t xml:space="preserve">de enero de 2019 dos mil diecinueve </w:t>
      </w:r>
      <w:r w:rsidRPr="00991CC6">
        <w:rPr>
          <w:rFonts w:ascii="Arial" w:eastAsia="Times New Roman" w:hAnsi="Arial" w:cs="Arial"/>
          <w:color w:val="2E74B5" w:themeColor="accent1" w:themeShade="BF"/>
          <w:sz w:val="24"/>
          <w:szCs w:val="24"/>
          <w:lang w:eastAsia="es-MX"/>
        </w:rPr>
        <w:t>el solicitante de la información fue notificado de la respuesta a su solicitud.</w:t>
      </w:r>
    </w:p>
    <w:p w:rsidR="00E84268" w:rsidRPr="00991CC6" w:rsidRDefault="00E84268" w:rsidP="00991CC6">
      <w:pPr>
        <w:numPr>
          <w:ilvl w:val="0"/>
          <w:numId w:val="3"/>
        </w:numPr>
        <w:spacing w:after="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A263FF">
        <w:rPr>
          <w:rFonts w:ascii="Arial" w:eastAsia="Times New Roman" w:hAnsi="Arial" w:cs="Arial"/>
          <w:color w:val="2E74B5" w:themeColor="accent1" w:themeShade="BF"/>
          <w:sz w:val="24"/>
          <w:szCs w:val="24"/>
          <w:lang w:eastAsia="es-MX"/>
        </w:rPr>
        <w:t xml:space="preserve">18 dieciocho </w:t>
      </w:r>
      <w:r w:rsidR="00733C19" w:rsidRPr="00991CC6">
        <w:rPr>
          <w:rFonts w:ascii="Arial" w:eastAsia="Times New Roman" w:hAnsi="Arial" w:cs="Arial"/>
          <w:color w:val="2E74B5" w:themeColor="accent1" w:themeShade="BF"/>
          <w:sz w:val="24"/>
          <w:szCs w:val="24"/>
          <w:lang w:eastAsia="es-MX"/>
        </w:rPr>
        <w:t xml:space="preserve">al </w:t>
      </w:r>
      <w:r w:rsidR="00A263FF">
        <w:rPr>
          <w:rFonts w:ascii="Arial" w:eastAsia="Times New Roman" w:hAnsi="Arial" w:cs="Arial"/>
          <w:color w:val="2E74B5" w:themeColor="accent1" w:themeShade="BF"/>
          <w:sz w:val="24"/>
          <w:szCs w:val="24"/>
          <w:lang w:eastAsia="es-MX"/>
        </w:rPr>
        <w:t xml:space="preserve">08 ocho de febrero </w:t>
      </w:r>
      <w:r w:rsidRPr="00991CC6">
        <w:rPr>
          <w:rFonts w:ascii="Arial" w:eastAsia="Times New Roman" w:hAnsi="Arial" w:cs="Arial"/>
          <w:color w:val="2E74B5" w:themeColor="accent1" w:themeShade="BF"/>
          <w:sz w:val="24"/>
          <w:szCs w:val="24"/>
          <w:lang w:eastAsia="es-MX"/>
        </w:rPr>
        <w:t xml:space="preserve">de 2019 dos mil diecinueve. </w:t>
      </w:r>
    </w:p>
    <w:p w:rsidR="00733C19" w:rsidRPr="00991CC6" w:rsidRDefault="00E84268" w:rsidP="00991CC6">
      <w:pPr>
        <w:pStyle w:val="corte4fondo"/>
        <w:numPr>
          <w:ilvl w:val="0"/>
          <w:numId w:val="3"/>
        </w:numPr>
        <w:spacing w:line="276" w:lineRule="auto"/>
        <w:rPr>
          <w:rFonts w:cs="Arial"/>
          <w:color w:val="2E74B5" w:themeColor="accent1" w:themeShade="BF"/>
          <w:sz w:val="24"/>
          <w:szCs w:val="24"/>
        </w:rPr>
      </w:pPr>
      <w:r w:rsidRPr="00991CC6">
        <w:rPr>
          <w:rFonts w:cs="Arial"/>
          <w:color w:val="2E74B5" w:themeColor="accent1" w:themeShade="BF"/>
          <w:sz w:val="24"/>
          <w:szCs w:val="24"/>
        </w:rPr>
        <w:t xml:space="preserve">Se deben de descontar de dicho cómputo por ser inhábiles los </w:t>
      </w:r>
      <w:r w:rsidR="00874997" w:rsidRPr="00991CC6">
        <w:rPr>
          <w:rFonts w:cs="Arial"/>
          <w:color w:val="2E74B5" w:themeColor="accent1" w:themeShade="BF"/>
          <w:sz w:val="24"/>
          <w:szCs w:val="24"/>
        </w:rPr>
        <w:t>días 19</w:t>
      </w:r>
      <w:r w:rsidR="00CE532B" w:rsidRPr="00991CC6">
        <w:rPr>
          <w:rFonts w:cs="Arial"/>
          <w:color w:val="2E74B5" w:themeColor="accent1" w:themeShade="BF"/>
          <w:sz w:val="24"/>
          <w:szCs w:val="24"/>
        </w:rPr>
        <w:t xml:space="preserve"> diecinueve, 20 veinte, 26 veintiséis, 27 </w:t>
      </w:r>
      <w:r w:rsidR="00A263FF" w:rsidRPr="00991CC6">
        <w:rPr>
          <w:rFonts w:cs="Arial"/>
          <w:color w:val="2E74B5" w:themeColor="accent1" w:themeShade="BF"/>
          <w:sz w:val="24"/>
          <w:szCs w:val="24"/>
        </w:rPr>
        <w:t xml:space="preserve">veintisiete, </w:t>
      </w:r>
      <w:r w:rsidR="00CE532B" w:rsidRPr="00991CC6">
        <w:rPr>
          <w:rFonts w:cs="Arial"/>
          <w:color w:val="2E74B5" w:themeColor="accent1" w:themeShade="BF"/>
          <w:sz w:val="24"/>
          <w:szCs w:val="24"/>
        </w:rPr>
        <w:t>02 dos, 03 tres y 04 cuatro de febrero de 2</w:t>
      </w:r>
      <w:r w:rsidR="00733C19" w:rsidRPr="00991CC6">
        <w:rPr>
          <w:rFonts w:cs="Arial"/>
          <w:color w:val="2E74B5" w:themeColor="accent1" w:themeShade="BF"/>
          <w:sz w:val="24"/>
          <w:szCs w:val="24"/>
        </w:rPr>
        <w:t>019 dos mil diecinueve.</w:t>
      </w:r>
    </w:p>
    <w:p w:rsidR="00E84268" w:rsidRPr="00991CC6" w:rsidRDefault="00E84268" w:rsidP="00991CC6">
      <w:pPr>
        <w:pStyle w:val="corte4fondo"/>
        <w:numPr>
          <w:ilvl w:val="0"/>
          <w:numId w:val="3"/>
        </w:numPr>
        <w:spacing w:line="276" w:lineRule="auto"/>
        <w:rPr>
          <w:rFonts w:cs="Arial"/>
          <w:color w:val="2E74B5" w:themeColor="accent1" w:themeShade="BF"/>
          <w:sz w:val="24"/>
          <w:szCs w:val="24"/>
        </w:rPr>
      </w:pPr>
      <w:r w:rsidRPr="00991CC6">
        <w:rPr>
          <w:rFonts w:cs="Arial"/>
          <w:color w:val="2E74B5" w:themeColor="accent1" w:themeShade="BF"/>
          <w:sz w:val="24"/>
          <w:szCs w:val="24"/>
        </w:rPr>
        <w:t xml:space="preserve">Consecuentemente si el </w:t>
      </w:r>
      <w:r w:rsidR="00CE532B" w:rsidRPr="00991CC6">
        <w:rPr>
          <w:rFonts w:cs="Arial"/>
          <w:color w:val="2E74B5" w:themeColor="accent1" w:themeShade="BF"/>
          <w:sz w:val="24"/>
          <w:szCs w:val="24"/>
        </w:rPr>
        <w:t xml:space="preserve">24 veinticuatro </w:t>
      </w:r>
      <w:r w:rsidR="00661569" w:rsidRPr="00991CC6">
        <w:rPr>
          <w:rFonts w:cs="Arial"/>
          <w:color w:val="2E74B5" w:themeColor="accent1" w:themeShade="BF"/>
          <w:sz w:val="24"/>
          <w:szCs w:val="24"/>
        </w:rPr>
        <w:t>de enero de 2019 dos mil diecinueve</w:t>
      </w:r>
      <w:r w:rsidRPr="00991CC6">
        <w:rPr>
          <w:rFonts w:cs="Arial"/>
          <w:color w:val="2E74B5" w:themeColor="accent1" w:themeShade="BF"/>
          <w:sz w:val="24"/>
          <w:szCs w:val="24"/>
        </w:rPr>
        <w:t xml:space="preserve"> el recurrente interpuso el citado medio de impugnación ante esta Comisión de Transparencia y ante la Oficial</w:t>
      </w:r>
      <w:r w:rsidR="006904B6" w:rsidRPr="00991CC6">
        <w:rPr>
          <w:rFonts w:cs="Arial"/>
          <w:color w:val="2E74B5" w:themeColor="accent1" w:themeShade="BF"/>
          <w:sz w:val="24"/>
          <w:szCs w:val="24"/>
        </w:rPr>
        <w:t>ía de Partes de esta Comisión en la misma fecha</w:t>
      </w:r>
      <w:r w:rsidR="00014D43" w:rsidRPr="00991CC6">
        <w:rPr>
          <w:rFonts w:cs="Arial"/>
          <w:color w:val="2E74B5" w:themeColor="accent1" w:themeShade="BF"/>
          <w:sz w:val="24"/>
          <w:szCs w:val="24"/>
        </w:rPr>
        <w:t xml:space="preserve">, por </w:t>
      </w:r>
      <w:r w:rsidR="00135A55" w:rsidRPr="00991CC6">
        <w:rPr>
          <w:rFonts w:cs="Arial"/>
          <w:color w:val="2E74B5" w:themeColor="accent1" w:themeShade="BF"/>
          <w:sz w:val="24"/>
          <w:szCs w:val="24"/>
        </w:rPr>
        <w:t>tal, resulta</w:t>
      </w:r>
      <w:r w:rsidRPr="00991CC6">
        <w:rPr>
          <w:rFonts w:cs="Arial"/>
          <w:color w:val="2E74B5" w:themeColor="accent1" w:themeShade="BF"/>
          <w:sz w:val="24"/>
          <w:szCs w:val="24"/>
        </w:rPr>
        <w:t xml:space="preserve"> claro que es oportuna su presentación.  </w:t>
      </w:r>
    </w:p>
    <w:p w:rsidR="00296982" w:rsidRPr="00991CC6" w:rsidRDefault="00296982" w:rsidP="00991CC6">
      <w:pPr>
        <w:spacing w:after="0"/>
        <w:ind w:left="1429"/>
        <w:jc w:val="both"/>
        <w:rPr>
          <w:rFonts w:ascii="Arial" w:eastAsia="Times New Roman" w:hAnsi="Arial" w:cs="Arial"/>
          <w:color w:val="2E74B5" w:themeColor="accent1" w:themeShade="BF"/>
          <w:sz w:val="24"/>
          <w:szCs w:val="24"/>
          <w:lang w:eastAsia="es-MX"/>
        </w:rPr>
      </w:pPr>
    </w:p>
    <w:p w:rsidR="00296982" w:rsidRPr="00991CC6" w:rsidRDefault="00296982" w:rsidP="00991CC6">
      <w:pPr>
        <w:pStyle w:val="corte4fondo"/>
        <w:spacing w:line="276" w:lineRule="auto"/>
        <w:rPr>
          <w:rFonts w:cs="Arial"/>
          <w:color w:val="2E74B5" w:themeColor="accent1" w:themeShade="BF"/>
          <w:sz w:val="24"/>
          <w:szCs w:val="24"/>
        </w:rPr>
      </w:pPr>
      <w:r w:rsidRPr="00991CC6">
        <w:rPr>
          <w:rFonts w:cs="Arial"/>
          <w:b/>
          <w:color w:val="2E74B5" w:themeColor="accent1" w:themeShade="BF"/>
          <w:sz w:val="24"/>
          <w:szCs w:val="24"/>
        </w:rPr>
        <w:lastRenderedPageBreak/>
        <w:t>CUARTO. Certeza del acto reclamado</w:t>
      </w:r>
      <w:r w:rsidRPr="00991CC6">
        <w:rPr>
          <w:rFonts w:cs="Arial"/>
          <w:color w:val="2E74B5" w:themeColor="accent1" w:themeShade="BF"/>
          <w:sz w:val="24"/>
          <w:szCs w:val="24"/>
        </w:rPr>
        <w:t xml:space="preserve">. Es cierto lo que se le reclama al sujeto obligado en virtud de que la solicitud de acceso a la información pública fue dirigida al municipio de que se trata como sujeto obligado de acuerdo al registro de la Plataforma Nacional de Transparencia. </w:t>
      </w:r>
    </w:p>
    <w:p w:rsidR="00296982" w:rsidRPr="00991CC6" w:rsidRDefault="00296982" w:rsidP="00991CC6">
      <w:pPr>
        <w:pStyle w:val="corte4fondo"/>
        <w:spacing w:line="276" w:lineRule="auto"/>
        <w:rPr>
          <w:rFonts w:cs="Arial"/>
          <w:color w:val="2E74B5" w:themeColor="accent1" w:themeShade="BF"/>
          <w:sz w:val="24"/>
          <w:szCs w:val="24"/>
        </w:rPr>
      </w:pPr>
    </w:p>
    <w:p w:rsidR="00D614DF" w:rsidRPr="00991CC6" w:rsidRDefault="00D614DF" w:rsidP="00991CC6">
      <w:pPr>
        <w:pStyle w:val="corte4fondo"/>
        <w:spacing w:line="276" w:lineRule="auto"/>
        <w:ind w:firstLine="708"/>
        <w:rPr>
          <w:rFonts w:cs="Arial"/>
          <w:color w:val="2E74B5" w:themeColor="accent1" w:themeShade="BF"/>
          <w:sz w:val="24"/>
          <w:szCs w:val="24"/>
        </w:rPr>
      </w:pPr>
      <w:r w:rsidRPr="00991CC6">
        <w:rPr>
          <w:rFonts w:cs="Arial"/>
          <w:b/>
          <w:color w:val="2E74B5" w:themeColor="accent1" w:themeShade="BF"/>
          <w:sz w:val="24"/>
          <w:szCs w:val="24"/>
        </w:rPr>
        <w:t xml:space="preserve">QUINTO. Causales de improcedencia. </w:t>
      </w:r>
      <w:r w:rsidRPr="00991CC6">
        <w:rPr>
          <w:rFonts w:cs="Arial"/>
          <w:color w:val="2E74B5" w:themeColor="accent1" w:themeShade="BF"/>
          <w:sz w:val="24"/>
          <w:szCs w:val="24"/>
        </w:rPr>
        <w:t xml:space="preserve">Las causales de improcedencia previstas en el artículo 179 de la Ley de Transparencia son de estudio oficioso y preferente a cualquier otra cuestión planteada, por lo tanto, al no haber causal de improcedencia invocada por las partes o advertida por este Órgano Colegiado, se </w:t>
      </w:r>
      <w:r w:rsidRPr="00E80C19">
        <w:rPr>
          <w:rFonts w:cs="Arial"/>
          <w:color w:val="2E74B5" w:themeColor="accent1" w:themeShade="BF"/>
          <w:sz w:val="24"/>
          <w:szCs w:val="24"/>
        </w:rPr>
        <w:t>analiza el fondo de la cuestión planteada.</w:t>
      </w:r>
    </w:p>
    <w:p w:rsidR="00D614DF" w:rsidRPr="00991CC6" w:rsidRDefault="00D614DF" w:rsidP="00991CC6">
      <w:pPr>
        <w:pStyle w:val="corte4fondo"/>
        <w:spacing w:line="276" w:lineRule="auto"/>
        <w:ind w:firstLine="708"/>
        <w:rPr>
          <w:rFonts w:cs="Arial"/>
          <w:color w:val="2E74B5" w:themeColor="accent1" w:themeShade="BF"/>
          <w:sz w:val="24"/>
          <w:szCs w:val="24"/>
        </w:rPr>
      </w:pPr>
    </w:p>
    <w:p w:rsidR="00D614DF" w:rsidRPr="00991CC6" w:rsidRDefault="00D614DF" w:rsidP="00991CC6">
      <w:pPr>
        <w:pStyle w:val="corte4fondo"/>
        <w:spacing w:line="276" w:lineRule="auto"/>
        <w:ind w:firstLine="708"/>
        <w:rPr>
          <w:rFonts w:cs="Arial"/>
          <w:color w:val="2E74B5" w:themeColor="accent1" w:themeShade="BF"/>
          <w:sz w:val="24"/>
          <w:szCs w:val="24"/>
        </w:rPr>
      </w:pPr>
      <w:r w:rsidRPr="00991CC6">
        <w:rPr>
          <w:rFonts w:cs="Arial"/>
          <w:b/>
          <w:color w:val="2E74B5" w:themeColor="accent1" w:themeShade="BF"/>
          <w:sz w:val="24"/>
          <w:szCs w:val="24"/>
        </w:rPr>
        <w:t>SEXTO. Estudio de los agravios</w:t>
      </w:r>
      <w:r w:rsidRPr="00991CC6">
        <w:rPr>
          <w:rFonts w:cs="Arial"/>
          <w:color w:val="2E74B5" w:themeColor="accent1" w:themeShade="BF"/>
          <w:sz w:val="24"/>
          <w:szCs w:val="24"/>
        </w:rPr>
        <w:t xml:space="preserve">.  </w:t>
      </w:r>
    </w:p>
    <w:p w:rsidR="00D614DF" w:rsidRPr="00991CC6" w:rsidRDefault="00D614DF" w:rsidP="00991CC6">
      <w:pPr>
        <w:pStyle w:val="corte4fondo"/>
        <w:spacing w:line="276" w:lineRule="auto"/>
        <w:ind w:firstLine="0"/>
        <w:rPr>
          <w:rFonts w:cs="Arial"/>
          <w:color w:val="2E74B5" w:themeColor="accent1" w:themeShade="BF"/>
          <w:sz w:val="24"/>
          <w:szCs w:val="24"/>
        </w:rPr>
      </w:pPr>
    </w:p>
    <w:p w:rsidR="00D614DF" w:rsidRPr="00991CC6" w:rsidRDefault="00D614DF" w:rsidP="00991CC6">
      <w:pPr>
        <w:pStyle w:val="corte4fondo"/>
        <w:tabs>
          <w:tab w:val="left" w:pos="708"/>
          <w:tab w:val="left" w:pos="1416"/>
          <w:tab w:val="left" w:pos="2124"/>
          <w:tab w:val="left" w:pos="5414"/>
        </w:tabs>
        <w:spacing w:line="276" w:lineRule="auto"/>
        <w:ind w:firstLine="0"/>
        <w:rPr>
          <w:rFonts w:cs="Arial"/>
          <w:b/>
          <w:color w:val="2E74B5" w:themeColor="accent1" w:themeShade="BF"/>
          <w:sz w:val="24"/>
          <w:szCs w:val="24"/>
        </w:rPr>
      </w:pPr>
      <w:r w:rsidRPr="00991CC6">
        <w:rPr>
          <w:rFonts w:cs="Arial"/>
          <w:color w:val="2E74B5" w:themeColor="accent1" w:themeShade="BF"/>
          <w:sz w:val="24"/>
          <w:szCs w:val="24"/>
        </w:rPr>
        <w:tab/>
      </w:r>
      <w:r w:rsidRPr="00991CC6">
        <w:rPr>
          <w:rFonts w:cs="Arial"/>
          <w:b/>
          <w:color w:val="2E74B5" w:themeColor="accent1" w:themeShade="BF"/>
          <w:sz w:val="24"/>
          <w:szCs w:val="24"/>
        </w:rPr>
        <w:t>6.1. Agravios.</w:t>
      </w:r>
      <w:r w:rsidR="006904B6" w:rsidRPr="00991CC6">
        <w:rPr>
          <w:rFonts w:cs="Arial"/>
          <w:b/>
          <w:color w:val="2E74B5" w:themeColor="accent1" w:themeShade="BF"/>
          <w:sz w:val="24"/>
          <w:szCs w:val="24"/>
        </w:rPr>
        <w:tab/>
      </w:r>
    </w:p>
    <w:p w:rsidR="00D614DF" w:rsidRPr="00991CC6" w:rsidRDefault="00D614DF" w:rsidP="00991CC6">
      <w:pPr>
        <w:pStyle w:val="corte4fondo"/>
        <w:spacing w:line="276" w:lineRule="auto"/>
        <w:ind w:firstLine="0"/>
        <w:rPr>
          <w:rFonts w:cs="Arial"/>
          <w:b/>
          <w:color w:val="2E74B5" w:themeColor="accent1" w:themeShade="BF"/>
          <w:sz w:val="24"/>
          <w:szCs w:val="24"/>
        </w:rPr>
      </w:pPr>
    </w:p>
    <w:p w:rsidR="00D614DF" w:rsidRPr="00991CC6" w:rsidRDefault="00D614DF" w:rsidP="00991CC6">
      <w:pPr>
        <w:pStyle w:val="corte4fondo"/>
        <w:spacing w:line="276" w:lineRule="auto"/>
        <w:ind w:firstLine="708"/>
        <w:rPr>
          <w:rFonts w:cs="Arial"/>
          <w:i/>
          <w:color w:val="2E74B5" w:themeColor="accent1" w:themeShade="BF"/>
          <w:sz w:val="20"/>
        </w:rPr>
      </w:pPr>
      <w:r w:rsidRPr="00991CC6">
        <w:rPr>
          <w:rFonts w:cs="Arial"/>
          <w:i/>
          <w:color w:val="2E74B5" w:themeColor="accent1" w:themeShade="BF"/>
          <w:sz w:val="20"/>
        </w:rPr>
        <w:t>“…</w:t>
      </w:r>
      <w:r w:rsidR="00CE532B" w:rsidRPr="00991CC6">
        <w:rPr>
          <w:rFonts w:cs="Arial"/>
          <w:i/>
          <w:color w:val="2E74B5" w:themeColor="accent1" w:themeShade="BF"/>
          <w:sz w:val="20"/>
        </w:rPr>
        <w:t>no proporciona la información solicitada</w:t>
      </w:r>
      <w:r w:rsidRPr="00991CC6">
        <w:rPr>
          <w:rFonts w:cs="Arial"/>
          <w:i/>
          <w:color w:val="2E74B5" w:themeColor="accent1" w:themeShade="BF"/>
          <w:sz w:val="20"/>
        </w:rPr>
        <w:t>…” (Sic).</w:t>
      </w:r>
    </w:p>
    <w:p w:rsidR="00D614DF" w:rsidRPr="00991CC6" w:rsidRDefault="00D614DF" w:rsidP="00991CC6">
      <w:pPr>
        <w:pStyle w:val="corte4fondo"/>
        <w:spacing w:line="276" w:lineRule="auto"/>
        <w:ind w:firstLine="708"/>
        <w:rPr>
          <w:rFonts w:cs="Arial"/>
          <w:i/>
          <w:color w:val="2E74B5" w:themeColor="accent1" w:themeShade="BF"/>
          <w:sz w:val="20"/>
        </w:rPr>
      </w:pPr>
    </w:p>
    <w:p w:rsidR="00D614DF" w:rsidRPr="00991CC6" w:rsidRDefault="00D614DF" w:rsidP="00991CC6">
      <w:pPr>
        <w:pStyle w:val="corte4fondo"/>
        <w:spacing w:line="276" w:lineRule="auto"/>
        <w:rPr>
          <w:rFonts w:cs="Arial"/>
          <w:b/>
          <w:color w:val="2E74B5" w:themeColor="accent1" w:themeShade="BF"/>
          <w:sz w:val="24"/>
          <w:szCs w:val="24"/>
        </w:rPr>
      </w:pPr>
      <w:r w:rsidRPr="00991CC6">
        <w:rPr>
          <w:rFonts w:cs="Arial"/>
          <w:b/>
          <w:color w:val="2E74B5" w:themeColor="accent1" w:themeShade="BF"/>
          <w:sz w:val="24"/>
          <w:szCs w:val="24"/>
        </w:rPr>
        <w:t>6.1.1. Agravio fundado.</w:t>
      </w:r>
    </w:p>
    <w:p w:rsidR="00D614DF" w:rsidRPr="00DA790D" w:rsidRDefault="00D614DF" w:rsidP="00991CC6">
      <w:pPr>
        <w:pStyle w:val="corte4fondo"/>
        <w:spacing w:line="276" w:lineRule="auto"/>
        <w:rPr>
          <w:rFonts w:cs="Arial"/>
          <w:color w:val="2E74B5" w:themeColor="accent1" w:themeShade="BF"/>
          <w:sz w:val="24"/>
          <w:szCs w:val="24"/>
        </w:rPr>
      </w:pPr>
    </w:p>
    <w:p w:rsidR="00A22510" w:rsidRPr="00874997" w:rsidRDefault="0001469D" w:rsidP="00A22510">
      <w:pPr>
        <w:pStyle w:val="corte4fondo"/>
        <w:ind w:firstLine="708"/>
        <w:rPr>
          <w:rFonts w:cs="Arial"/>
          <w:i/>
          <w:color w:val="2E74B5" w:themeColor="accent1" w:themeShade="BF"/>
          <w:sz w:val="20"/>
        </w:rPr>
      </w:pPr>
      <w:r w:rsidRPr="00E80C19">
        <w:rPr>
          <w:rFonts w:cs="Arial"/>
          <w:color w:val="2E74B5" w:themeColor="accent1" w:themeShade="BF"/>
          <w:sz w:val="24"/>
          <w:szCs w:val="24"/>
        </w:rPr>
        <w:t xml:space="preserve">Para sustentar que le asiste la razón al inconforme es necesario recordar qué fue lo que </w:t>
      </w:r>
      <w:r w:rsidR="00003CFE" w:rsidRPr="00E80C19">
        <w:rPr>
          <w:rFonts w:cs="Arial"/>
          <w:color w:val="2E74B5" w:themeColor="accent1" w:themeShade="BF"/>
          <w:sz w:val="24"/>
          <w:szCs w:val="24"/>
        </w:rPr>
        <w:t xml:space="preserve">solicitó </w:t>
      </w:r>
      <w:r w:rsidR="00A22510" w:rsidRPr="00E80C19">
        <w:rPr>
          <w:rFonts w:cs="Arial"/>
          <w:i/>
          <w:color w:val="2E74B5" w:themeColor="accent1" w:themeShade="BF"/>
          <w:sz w:val="20"/>
        </w:rPr>
        <w:t>“…</w:t>
      </w:r>
      <w:r w:rsidR="00A22510" w:rsidRPr="00874997">
        <w:rPr>
          <w:rFonts w:cs="Arial"/>
          <w:i/>
          <w:color w:val="2E74B5" w:themeColor="accent1" w:themeShade="BF"/>
          <w:sz w:val="20"/>
        </w:rPr>
        <w:t xml:space="preserve">Ivonne </w:t>
      </w:r>
      <w:proofErr w:type="spellStart"/>
      <w:r w:rsidR="00A22510" w:rsidRPr="00874997">
        <w:rPr>
          <w:rFonts w:cs="Arial"/>
          <w:i/>
          <w:color w:val="2E74B5" w:themeColor="accent1" w:themeShade="BF"/>
          <w:sz w:val="20"/>
        </w:rPr>
        <w:t>lizeth</w:t>
      </w:r>
      <w:proofErr w:type="spellEnd"/>
      <w:r w:rsidR="00A22510" w:rsidRPr="00874997">
        <w:rPr>
          <w:rFonts w:cs="Arial"/>
          <w:i/>
          <w:color w:val="2E74B5" w:themeColor="accent1" w:themeShade="BF"/>
          <w:sz w:val="20"/>
        </w:rPr>
        <w:t xml:space="preserve"> gomez ramos contralor interno del H. AYUNTAMIENTO DE SAN MARTÍN </w:t>
      </w:r>
      <w:proofErr w:type="spellStart"/>
      <w:r w:rsidR="00A22510" w:rsidRPr="00874997">
        <w:rPr>
          <w:rFonts w:cs="Arial"/>
          <w:i/>
          <w:color w:val="2E74B5" w:themeColor="accent1" w:themeShade="BF"/>
          <w:sz w:val="20"/>
        </w:rPr>
        <w:t>Chalchicuautla</w:t>
      </w:r>
      <w:proofErr w:type="spellEnd"/>
      <w:r w:rsidR="00A22510" w:rsidRPr="00874997">
        <w:rPr>
          <w:rFonts w:cs="Arial"/>
          <w:i/>
          <w:color w:val="2E74B5" w:themeColor="accent1" w:themeShade="BF"/>
          <w:sz w:val="20"/>
        </w:rPr>
        <w:t xml:space="preserve"> administración 2018 – 2021, solicito me informe por oficio lo siguiente: </w:t>
      </w:r>
    </w:p>
    <w:p w:rsidR="00A22510" w:rsidRPr="00991CC6" w:rsidRDefault="00A22510" w:rsidP="00A22510">
      <w:pPr>
        <w:pStyle w:val="corte4fondo"/>
        <w:spacing w:line="276" w:lineRule="auto"/>
        <w:ind w:firstLine="708"/>
        <w:rPr>
          <w:rFonts w:cs="Arial"/>
          <w:i/>
          <w:color w:val="2E74B5" w:themeColor="accent1" w:themeShade="BF"/>
          <w:sz w:val="20"/>
        </w:rPr>
      </w:pPr>
      <w:r w:rsidRPr="00874997">
        <w:rPr>
          <w:rFonts w:cs="Arial"/>
          <w:i/>
          <w:color w:val="2E74B5" w:themeColor="accent1" w:themeShade="BF"/>
          <w:sz w:val="20"/>
        </w:rPr>
        <w:t>Nombre de los servidores públicos que restringieron su declaración patrimonial de bienes</w:t>
      </w:r>
      <w:r w:rsidRPr="00991CC6">
        <w:rPr>
          <w:rFonts w:cs="Arial"/>
          <w:i/>
          <w:color w:val="2E74B5" w:themeColor="accent1" w:themeShade="BF"/>
          <w:sz w:val="20"/>
        </w:rPr>
        <w:t>.…”</w:t>
      </w:r>
    </w:p>
    <w:p w:rsidR="001B26AF" w:rsidRPr="00DA790D" w:rsidRDefault="001B26AF" w:rsidP="00991CC6">
      <w:pPr>
        <w:pStyle w:val="corte4fondo"/>
        <w:spacing w:line="276" w:lineRule="auto"/>
        <w:ind w:firstLine="708"/>
        <w:rPr>
          <w:rFonts w:cs="Arial"/>
          <w:i/>
          <w:color w:val="2E74B5" w:themeColor="accent1" w:themeShade="BF"/>
          <w:sz w:val="20"/>
        </w:rPr>
      </w:pPr>
    </w:p>
    <w:p w:rsidR="00DD5ACF" w:rsidRPr="00DA790D" w:rsidRDefault="00DD5ACF" w:rsidP="00991CC6">
      <w:pPr>
        <w:pStyle w:val="corte4fondo"/>
        <w:spacing w:line="276" w:lineRule="auto"/>
        <w:ind w:firstLine="708"/>
        <w:rPr>
          <w:rFonts w:cs="Arial"/>
          <w:i/>
          <w:color w:val="2E74B5" w:themeColor="accent1" w:themeShade="BF"/>
          <w:sz w:val="20"/>
        </w:rPr>
      </w:pPr>
      <w:r w:rsidRPr="00DA790D">
        <w:rPr>
          <w:rFonts w:cs="Arial"/>
          <w:i/>
          <w:color w:val="2E74B5" w:themeColor="accent1" w:themeShade="BF"/>
          <w:sz w:val="20"/>
        </w:rPr>
        <w:t xml:space="preserve"> </w:t>
      </w:r>
    </w:p>
    <w:p w:rsidR="00DD5ACF" w:rsidRPr="00991CC6" w:rsidRDefault="00DD5ACF" w:rsidP="00991CC6">
      <w:pPr>
        <w:spacing w:after="0"/>
        <w:ind w:firstLine="708"/>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 xml:space="preserve">Ahora bien, en la respuesta el </w:t>
      </w:r>
      <w:r w:rsidR="00A22510">
        <w:rPr>
          <w:rFonts w:ascii="Arial" w:hAnsi="Arial" w:cs="Arial"/>
          <w:color w:val="2E74B5" w:themeColor="accent1" w:themeShade="BF"/>
          <w:sz w:val="24"/>
          <w:szCs w:val="24"/>
        </w:rPr>
        <w:t xml:space="preserve">contralor interno Municipal del </w:t>
      </w:r>
      <w:r w:rsidRPr="00991CC6">
        <w:rPr>
          <w:rFonts w:ascii="Arial" w:hAnsi="Arial" w:cs="Arial"/>
          <w:color w:val="2E74B5" w:themeColor="accent1" w:themeShade="BF"/>
          <w:sz w:val="24"/>
          <w:szCs w:val="24"/>
        </w:rPr>
        <w:t>sujeto obligado</w:t>
      </w:r>
      <w:r w:rsidR="00A22510">
        <w:rPr>
          <w:rFonts w:ascii="Arial" w:hAnsi="Arial" w:cs="Arial"/>
          <w:color w:val="2E74B5" w:themeColor="accent1" w:themeShade="BF"/>
          <w:sz w:val="24"/>
          <w:szCs w:val="24"/>
        </w:rPr>
        <w:t xml:space="preserve"> en respuesta a la solicitud con el número de folio 00018919, señaló lo siguiente: </w:t>
      </w:r>
      <w:r w:rsidR="00A22510" w:rsidRPr="00A22510">
        <w:rPr>
          <w:rFonts w:ascii="Arial" w:hAnsi="Arial" w:cs="Arial"/>
          <w:i/>
          <w:color w:val="2E74B5" w:themeColor="accent1" w:themeShade="BF"/>
          <w:sz w:val="20"/>
          <w:szCs w:val="20"/>
        </w:rPr>
        <w:t>“…A TODOS LOS QUE SE LES ENVÍO EL REQUERIMIENTO CUMPLIERON EN TIEMPO Y EN FORMA…”</w:t>
      </w:r>
    </w:p>
    <w:p w:rsidR="001B26AF" w:rsidRPr="00991CC6" w:rsidRDefault="00DD5ACF" w:rsidP="00991CC6">
      <w:pPr>
        <w:spacing w:after="0"/>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 xml:space="preserve"> </w:t>
      </w:r>
    </w:p>
    <w:p w:rsidR="009421F9" w:rsidRPr="00991CC6" w:rsidRDefault="00DD5ACF" w:rsidP="009421F9">
      <w:pPr>
        <w:spacing w:after="0"/>
        <w:ind w:firstLine="708"/>
        <w:jc w:val="both"/>
        <w:rPr>
          <w:rFonts w:ascii="Arial" w:hAnsi="Arial" w:cs="Arial"/>
          <w:color w:val="4F81BD"/>
          <w:sz w:val="24"/>
          <w:szCs w:val="24"/>
        </w:rPr>
      </w:pPr>
      <w:r w:rsidRPr="009421F9">
        <w:rPr>
          <w:rFonts w:ascii="Arial" w:hAnsi="Arial" w:cs="Arial"/>
          <w:color w:val="2E74B5" w:themeColor="accent1" w:themeShade="BF"/>
          <w:sz w:val="24"/>
          <w:szCs w:val="24"/>
        </w:rPr>
        <w:t>Consecuentemente</w:t>
      </w:r>
      <w:r w:rsidR="0001469D" w:rsidRPr="009421F9">
        <w:rPr>
          <w:rFonts w:ascii="Arial" w:hAnsi="Arial" w:cs="Arial"/>
          <w:color w:val="4F81BD"/>
          <w:sz w:val="24"/>
          <w:szCs w:val="24"/>
        </w:rPr>
        <w:t xml:space="preserve">, en el escrito de manifestaciones firmado por la Titular de la Unidad de Transparencia del sujeto obligado que rindió ante esta Comisión, </w:t>
      </w:r>
      <w:r w:rsidR="00C02E22" w:rsidRPr="009421F9">
        <w:rPr>
          <w:rFonts w:ascii="Arial" w:hAnsi="Arial" w:cs="Arial"/>
          <w:color w:val="4F81BD"/>
          <w:sz w:val="24"/>
          <w:szCs w:val="24"/>
        </w:rPr>
        <w:t>únicamente se advierte la gestión realizada ante el área correspondiente,</w:t>
      </w:r>
      <w:r w:rsidR="009421F9" w:rsidRPr="009421F9">
        <w:rPr>
          <w:rFonts w:ascii="Arial" w:hAnsi="Arial" w:cs="Arial"/>
          <w:color w:val="4F81BD"/>
          <w:sz w:val="24"/>
          <w:szCs w:val="24"/>
        </w:rPr>
        <w:t xml:space="preserve"> asimismo expresó que hizo llegar por correo electrónico la información al solicitante la cual fue rechazada por la página por motivo de que la dirección de correo electrónico no se encontró registrada y por adjuntó los documentos de solicitud y contestación antes mencionados.</w:t>
      </w:r>
    </w:p>
    <w:p w:rsidR="00C02E22" w:rsidRDefault="00C02E22" w:rsidP="00991CC6">
      <w:pPr>
        <w:spacing w:after="0"/>
        <w:jc w:val="both"/>
        <w:rPr>
          <w:rFonts w:ascii="Arial" w:hAnsi="Arial" w:cs="Arial"/>
          <w:color w:val="2E74B5" w:themeColor="accent1" w:themeShade="BF"/>
          <w:sz w:val="24"/>
          <w:szCs w:val="24"/>
        </w:rPr>
      </w:pPr>
    </w:p>
    <w:p w:rsidR="009421F9" w:rsidRPr="003C4AD5" w:rsidRDefault="009421F9" w:rsidP="009421F9">
      <w:pPr>
        <w:spacing w:after="0"/>
        <w:ind w:firstLine="708"/>
        <w:jc w:val="both"/>
        <w:rPr>
          <w:rFonts w:ascii="Arial" w:hAnsi="Arial" w:cs="Arial"/>
          <w:color w:val="2E74B5" w:themeColor="accent1" w:themeShade="BF"/>
          <w:sz w:val="24"/>
          <w:szCs w:val="24"/>
        </w:rPr>
      </w:pPr>
      <w:r>
        <w:rPr>
          <w:rFonts w:ascii="Arial" w:hAnsi="Arial" w:cs="Arial"/>
          <w:color w:val="2E74B5" w:themeColor="accent1" w:themeShade="BF"/>
          <w:sz w:val="24"/>
          <w:szCs w:val="24"/>
        </w:rPr>
        <w:t xml:space="preserve">Respecto </w:t>
      </w:r>
      <w:r w:rsidRPr="00466C8C">
        <w:rPr>
          <w:rFonts w:ascii="Arial" w:hAnsi="Arial" w:cs="Arial"/>
          <w:color w:val="2E74B5" w:themeColor="accent1" w:themeShade="BF"/>
          <w:sz w:val="24"/>
          <w:szCs w:val="24"/>
        </w:rPr>
        <w:t>a la imposibilidad de notificar vía correo electrónico,</w:t>
      </w:r>
      <w:r>
        <w:rPr>
          <w:rFonts w:ascii="Arial" w:hAnsi="Arial" w:cs="Arial"/>
          <w:color w:val="2E74B5" w:themeColor="accent1" w:themeShade="BF"/>
          <w:sz w:val="24"/>
          <w:szCs w:val="24"/>
        </w:rPr>
        <w:t xml:space="preserve"> y las pruebas que remite al respecto,</w:t>
      </w:r>
      <w:r w:rsidRPr="00466C8C">
        <w:rPr>
          <w:rFonts w:ascii="Arial" w:hAnsi="Arial" w:cs="Arial"/>
          <w:color w:val="2E74B5" w:themeColor="accent1" w:themeShade="BF"/>
          <w:sz w:val="24"/>
          <w:szCs w:val="24"/>
        </w:rPr>
        <w:t xml:space="preserve"> no son de tomarse en consideración </w:t>
      </w:r>
      <w:r>
        <w:rPr>
          <w:rFonts w:ascii="Arial" w:hAnsi="Arial" w:cs="Arial"/>
          <w:color w:val="2E74B5" w:themeColor="accent1" w:themeShade="BF"/>
          <w:sz w:val="24"/>
          <w:szCs w:val="24"/>
        </w:rPr>
        <w:t>toda vez que, dicho argumento no</w:t>
      </w:r>
      <w:r w:rsidRPr="003C4AD5">
        <w:rPr>
          <w:rFonts w:ascii="Arial" w:hAnsi="Arial" w:cs="Arial"/>
          <w:color w:val="2E74B5" w:themeColor="accent1" w:themeShade="BF"/>
          <w:sz w:val="24"/>
          <w:szCs w:val="24"/>
        </w:rPr>
        <w:t xml:space="preserve"> hizo del conocimiento del ahora recurrente en la respuesta impugnada, por lo que es necesario aclarar al sujeto obligado que el informe de ley no es la vía para que los sujetos obligados mejoren su respuesta, tan es así, que no remitió prueba documental alguna para acreditar tal circunstancia, es decir, </w:t>
      </w:r>
      <w:r w:rsidRPr="003C4AD5">
        <w:rPr>
          <w:rFonts w:ascii="Arial" w:hAnsi="Arial" w:cs="Arial"/>
          <w:color w:val="2E74B5" w:themeColor="accent1" w:themeShade="BF"/>
          <w:sz w:val="24"/>
          <w:szCs w:val="24"/>
        </w:rPr>
        <w:lastRenderedPageBreak/>
        <w:t>que no adjuntó al informe de cuenta, constancia de notificación realizada al solicitante.</w:t>
      </w:r>
    </w:p>
    <w:p w:rsidR="009421F9" w:rsidRDefault="009421F9" w:rsidP="009421F9">
      <w:pPr>
        <w:spacing w:after="0"/>
        <w:ind w:firstLine="708"/>
        <w:jc w:val="both"/>
        <w:rPr>
          <w:rFonts w:cs="Arial"/>
          <w:color w:val="2E74B5" w:themeColor="accent1" w:themeShade="BF"/>
          <w:sz w:val="24"/>
          <w:szCs w:val="24"/>
        </w:rPr>
      </w:pPr>
      <w:r>
        <w:rPr>
          <w:rFonts w:ascii="Arial" w:hAnsi="Arial" w:cs="Arial"/>
          <w:color w:val="2E74B5" w:themeColor="accent1" w:themeShade="BF"/>
          <w:sz w:val="24"/>
          <w:szCs w:val="24"/>
        </w:rPr>
        <w:t xml:space="preserve"> </w:t>
      </w:r>
      <w:r>
        <w:rPr>
          <w:rFonts w:cs="Arial"/>
          <w:color w:val="2E74B5" w:themeColor="accent1" w:themeShade="BF"/>
          <w:sz w:val="24"/>
          <w:szCs w:val="24"/>
        </w:rPr>
        <w:t xml:space="preserve"> </w:t>
      </w:r>
    </w:p>
    <w:p w:rsidR="009421F9" w:rsidRPr="00262D45" w:rsidRDefault="009421F9" w:rsidP="009421F9">
      <w:pPr>
        <w:spacing w:after="0"/>
        <w:ind w:firstLine="708"/>
        <w:jc w:val="both"/>
        <w:rPr>
          <w:rFonts w:ascii="Arial" w:hAnsi="Arial" w:cs="Arial"/>
          <w:color w:val="2E74B5" w:themeColor="accent1" w:themeShade="BF"/>
          <w:sz w:val="24"/>
          <w:szCs w:val="24"/>
        </w:rPr>
      </w:pPr>
      <w:r w:rsidRPr="00262D45">
        <w:rPr>
          <w:rFonts w:ascii="Arial" w:hAnsi="Arial" w:cs="Arial"/>
          <w:color w:val="2E74B5" w:themeColor="accent1" w:themeShade="BF"/>
          <w:sz w:val="24"/>
          <w:szCs w:val="24"/>
        </w:rPr>
        <w:t xml:space="preserve">De ahí que, la autoridad </w:t>
      </w:r>
      <w:r>
        <w:rPr>
          <w:rFonts w:ascii="Arial" w:hAnsi="Arial" w:cs="Arial"/>
          <w:color w:val="2E74B5" w:themeColor="accent1" w:themeShade="BF"/>
          <w:sz w:val="24"/>
          <w:szCs w:val="24"/>
        </w:rPr>
        <w:t>deberá agotar</w:t>
      </w:r>
      <w:r w:rsidRPr="00262D45">
        <w:rPr>
          <w:rFonts w:ascii="Arial" w:hAnsi="Arial" w:cs="Arial"/>
          <w:color w:val="2E74B5" w:themeColor="accent1" w:themeShade="BF"/>
          <w:sz w:val="24"/>
          <w:szCs w:val="24"/>
        </w:rPr>
        <w:t xml:space="preserve"> todos los medios para llevar a cabo la debida notificación, es decir, la autoridad debió actuar conforme al procedimiento establecido en el Capítulo III, en razón de las Notificaciones </w:t>
      </w:r>
      <w:r>
        <w:rPr>
          <w:rFonts w:ascii="Arial" w:hAnsi="Arial" w:cs="Arial"/>
          <w:color w:val="2E74B5" w:themeColor="accent1" w:themeShade="BF"/>
          <w:sz w:val="24"/>
          <w:szCs w:val="24"/>
        </w:rPr>
        <w:t xml:space="preserve">establecidas en el </w:t>
      </w:r>
      <w:r w:rsidRPr="00262D45">
        <w:rPr>
          <w:rFonts w:ascii="Arial" w:hAnsi="Arial" w:cs="Arial"/>
          <w:color w:val="2E74B5" w:themeColor="accent1" w:themeShade="BF"/>
          <w:sz w:val="24"/>
          <w:szCs w:val="24"/>
        </w:rPr>
        <w:t xml:space="preserve">Código Procesal Administrativo para el estado de San Luis Potosí, tal como lo refiere el artículo 29, aplicado de manera supletoria a la Ley de Transparencia y Acceso a la Información Pública del Estado según su artículo 1°.  </w:t>
      </w:r>
    </w:p>
    <w:p w:rsidR="009421F9" w:rsidRPr="00991CC6" w:rsidRDefault="009421F9" w:rsidP="009421F9">
      <w:pPr>
        <w:spacing w:after="0"/>
        <w:ind w:firstLine="708"/>
        <w:jc w:val="both"/>
        <w:rPr>
          <w:rFonts w:cs="Arial"/>
          <w:color w:val="2E74B5" w:themeColor="accent1" w:themeShade="BF"/>
          <w:sz w:val="24"/>
          <w:szCs w:val="24"/>
        </w:rPr>
      </w:pPr>
    </w:p>
    <w:p w:rsidR="00A95516" w:rsidRPr="00991CC6" w:rsidRDefault="00A95516" w:rsidP="00991CC6">
      <w:pPr>
        <w:spacing w:after="0"/>
        <w:ind w:firstLine="708"/>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En ese tenor la ley de Transparencia y Acceso a la Información Pública del Estado de San Luis Potosí, prevé lo siguiente:</w:t>
      </w:r>
    </w:p>
    <w:p w:rsidR="00816072" w:rsidRPr="00991CC6" w:rsidRDefault="00816072" w:rsidP="00991CC6">
      <w:pPr>
        <w:spacing w:after="0"/>
        <w:ind w:firstLine="708"/>
        <w:jc w:val="both"/>
        <w:rPr>
          <w:rFonts w:ascii="Arial" w:hAnsi="Arial" w:cs="Arial"/>
          <w:color w:val="2E74B5" w:themeColor="accent1" w:themeShade="BF"/>
          <w:sz w:val="24"/>
          <w:szCs w:val="24"/>
        </w:rPr>
      </w:pPr>
    </w:p>
    <w:p w:rsidR="00816072" w:rsidRPr="00991CC6" w:rsidRDefault="00816072" w:rsidP="00991CC6">
      <w:pPr>
        <w:pStyle w:val="corte4fondo"/>
        <w:spacing w:line="276" w:lineRule="auto"/>
        <w:ind w:firstLine="708"/>
        <w:rPr>
          <w:rFonts w:cs="Arial"/>
          <w:i/>
          <w:color w:val="2E74B5"/>
          <w:sz w:val="20"/>
        </w:rPr>
      </w:pPr>
      <w:r w:rsidRPr="00991CC6">
        <w:rPr>
          <w:rFonts w:cs="Arial"/>
          <w:b/>
          <w:i/>
          <w:color w:val="2E74B5"/>
          <w:sz w:val="20"/>
        </w:rPr>
        <w:t>ARTÍCULO 18.</w:t>
      </w:r>
      <w:r w:rsidRPr="00991CC6">
        <w:rPr>
          <w:rFonts w:cs="Arial"/>
          <w:i/>
          <w:color w:val="2E74B5"/>
          <w:sz w:val="20"/>
        </w:rPr>
        <w:t xml:space="preserve"> Los sujetos obligados deberán documentar todo acto que derive del ejercicio de sus facultades, competencias o funciones.</w:t>
      </w:r>
    </w:p>
    <w:p w:rsidR="00816072" w:rsidRPr="00991CC6" w:rsidRDefault="00816072" w:rsidP="00991CC6">
      <w:pPr>
        <w:pStyle w:val="corte4fondo"/>
        <w:spacing w:line="276" w:lineRule="auto"/>
        <w:ind w:firstLine="0"/>
        <w:rPr>
          <w:rFonts w:cs="Arial"/>
          <w:i/>
          <w:color w:val="2E74B5"/>
          <w:sz w:val="20"/>
        </w:rPr>
      </w:pPr>
    </w:p>
    <w:p w:rsidR="00816072" w:rsidRPr="00991CC6" w:rsidRDefault="00816072" w:rsidP="00991CC6">
      <w:pPr>
        <w:pStyle w:val="corte4fondo"/>
        <w:spacing w:line="276" w:lineRule="auto"/>
        <w:ind w:firstLine="708"/>
        <w:rPr>
          <w:rFonts w:cs="Arial"/>
          <w:i/>
          <w:color w:val="2E74B5"/>
          <w:sz w:val="20"/>
        </w:rPr>
      </w:pPr>
      <w:r w:rsidRPr="00991CC6">
        <w:rPr>
          <w:rFonts w:cs="Arial"/>
          <w:b/>
          <w:i/>
          <w:color w:val="2E74B5"/>
          <w:sz w:val="20"/>
        </w:rPr>
        <w:t>ARTÍCULO 19.</w:t>
      </w:r>
      <w:r w:rsidRPr="00991CC6">
        <w:rPr>
          <w:rFonts w:cs="Arial"/>
          <w:i/>
          <w:color w:val="2E74B5"/>
          <w:sz w:val="20"/>
        </w:rPr>
        <w:t xml:space="preserve"> Se presume que la información debe existir si se refiere a las facultades, competencias y funciones que los ordenamientos jurídicos aplicables otorgan a los sujetos obligados.</w:t>
      </w:r>
    </w:p>
    <w:p w:rsidR="00816072" w:rsidRPr="00991CC6" w:rsidRDefault="00816072" w:rsidP="00991CC6">
      <w:pPr>
        <w:pStyle w:val="corte4fondo"/>
        <w:spacing w:line="276" w:lineRule="auto"/>
        <w:ind w:firstLine="0"/>
        <w:rPr>
          <w:rFonts w:cs="Arial"/>
          <w:i/>
          <w:color w:val="2E74B5"/>
          <w:sz w:val="20"/>
        </w:rPr>
      </w:pPr>
      <w:r w:rsidRPr="00991CC6">
        <w:rPr>
          <w:rFonts w:cs="Arial"/>
          <w:i/>
          <w:color w:val="2E74B5"/>
          <w:sz w:val="20"/>
        </w:rPr>
        <w:t>En los casos en que ciertas facultades, competencias o funciones no se hayan ejercido, se debe motivar la respuesta en función de las causas que motiven la inexistencia.</w:t>
      </w:r>
    </w:p>
    <w:p w:rsidR="00816072" w:rsidRPr="00991CC6" w:rsidRDefault="00816072" w:rsidP="00991CC6">
      <w:pPr>
        <w:pStyle w:val="corte4fondo"/>
        <w:spacing w:line="276" w:lineRule="auto"/>
        <w:ind w:firstLine="0"/>
        <w:rPr>
          <w:rFonts w:cs="Arial"/>
          <w:i/>
          <w:color w:val="2E74B5"/>
          <w:sz w:val="20"/>
        </w:rPr>
      </w:pPr>
    </w:p>
    <w:p w:rsidR="00816072" w:rsidRPr="00991CC6" w:rsidRDefault="00816072" w:rsidP="00991CC6">
      <w:pPr>
        <w:pStyle w:val="corte4fondo"/>
        <w:spacing w:line="276" w:lineRule="auto"/>
        <w:ind w:firstLine="708"/>
        <w:rPr>
          <w:rFonts w:cs="Arial"/>
          <w:i/>
          <w:color w:val="2E74B5"/>
          <w:sz w:val="20"/>
        </w:rPr>
      </w:pPr>
      <w:r w:rsidRPr="00991CC6">
        <w:rPr>
          <w:rFonts w:cs="Arial"/>
          <w:b/>
          <w:i/>
          <w:color w:val="2E74B5"/>
          <w:sz w:val="20"/>
        </w:rPr>
        <w:t>ARTÍCULO 20.</w:t>
      </w:r>
      <w:r w:rsidRPr="00991CC6">
        <w:rPr>
          <w:rFonts w:cs="Arial"/>
          <w:i/>
          <w:color w:val="2E74B5"/>
          <w:sz w:val="20"/>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816072" w:rsidRPr="00991CC6" w:rsidRDefault="00816072" w:rsidP="00991CC6">
      <w:pPr>
        <w:pStyle w:val="corte4fondo"/>
        <w:spacing w:line="276" w:lineRule="auto"/>
        <w:ind w:firstLine="0"/>
        <w:rPr>
          <w:rFonts w:cs="Arial"/>
          <w:i/>
          <w:color w:val="2E74B5"/>
          <w:sz w:val="24"/>
          <w:szCs w:val="24"/>
        </w:rPr>
      </w:pPr>
    </w:p>
    <w:p w:rsidR="00816072" w:rsidRPr="00991CC6" w:rsidRDefault="00816072" w:rsidP="00991CC6">
      <w:pPr>
        <w:pStyle w:val="corte4fondo"/>
        <w:spacing w:line="276" w:lineRule="auto"/>
        <w:ind w:firstLine="708"/>
        <w:rPr>
          <w:rFonts w:cs="Arial"/>
          <w:color w:val="2E74B5"/>
          <w:sz w:val="20"/>
        </w:rPr>
      </w:pPr>
      <w:r w:rsidRPr="00991CC6">
        <w:rPr>
          <w:rFonts w:cs="Arial"/>
          <w:color w:val="2E74B5"/>
          <w:sz w:val="24"/>
          <w:szCs w:val="24"/>
        </w:rPr>
        <w:t xml:space="preserve">Esto es, que, si la información que le fue solicitada deriva del ejercicio de sus facultades, competencias o funciones, se presume que la misma debe de existir o, en su caso, demostrar que la información no se refiere a alguna de sus facultades, competencias o funciones o bien, que en los casos </w:t>
      </w:r>
      <w:r w:rsidRPr="00991CC6">
        <w:rPr>
          <w:rFonts w:cs="Arial"/>
          <w:color w:val="2E74B5"/>
          <w:sz w:val="24"/>
          <w:szCs w:val="24"/>
          <w:u w:val="single"/>
        </w:rPr>
        <w:t>en que ciertas facultades, competencias o funciones no se hayan ejercido, se debe motivar la respuesta en función de las causas que motiven la inexistencia</w:t>
      </w:r>
      <w:r w:rsidRPr="00991CC6">
        <w:rPr>
          <w:rFonts w:cs="Arial"/>
          <w:color w:val="2E74B5"/>
          <w:sz w:val="20"/>
        </w:rPr>
        <w:t>.</w:t>
      </w:r>
    </w:p>
    <w:p w:rsidR="00816072" w:rsidRPr="00991CC6" w:rsidRDefault="00816072" w:rsidP="00991CC6">
      <w:pPr>
        <w:pStyle w:val="corte4fondo"/>
        <w:spacing w:line="276" w:lineRule="auto"/>
        <w:ind w:firstLine="0"/>
        <w:rPr>
          <w:rFonts w:cs="Arial"/>
          <w:color w:val="2E74B5"/>
          <w:sz w:val="24"/>
          <w:szCs w:val="24"/>
        </w:rPr>
      </w:pPr>
    </w:p>
    <w:p w:rsidR="00816072" w:rsidRPr="00991CC6" w:rsidRDefault="00816072" w:rsidP="00991CC6">
      <w:pPr>
        <w:pStyle w:val="corte4fondo"/>
        <w:spacing w:line="276" w:lineRule="auto"/>
        <w:ind w:firstLine="708"/>
        <w:rPr>
          <w:rFonts w:cs="Arial"/>
          <w:color w:val="2E74B5"/>
          <w:sz w:val="24"/>
          <w:szCs w:val="24"/>
        </w:rPr>
      </w:pPr>
      <w:r w:rsidRPr="00991CC6">
        <w:rPr>
          <w:rFonts w:cs="Arial"/>
          <w:color w:val="2E74B5"/>
          <w:sz w:val="24"/>
          <w:szCs w:val="24"/>
        </w:rPr>
        <w:t>Sin embargo, en el caso que aquí nos ocupa, resulta aplicable traer a colación los siguientes artículos 153 y 155 de la Ley de la materia.</w:t>
      </w:r>
    </w:p>
    <w:p w:rsidR="00816072" w:rsidRPr="00991CC6" w:rsidRDefault="00816072" w:rsidP="00991CC6">
      <w:pPr>
        <w:pStyle w:val="corte4fondo"/>
        <w:spacing w:line="276" w:lineRule="auto"/>
        <w:ind w:firstLine="708"/>
        <w:rPr>
          <w:rFonts w:cs="Arial"/>
          <w:color w:val="2E74B5"/>
          <w:sz w:val="24"/>
          <w:szCs w:val="24"/>
        </w:rPr>
      </w:pPr>
    </w:p>
    <w:p w:rsidR="00816072" w:rsidRPr="00991CC6" w:rsidRDefault="00816072" w:rsidP="00991CC6">
      <w:pPr>
        <w:pStyle w:val="corte4fondo"/>
        <w:spacing w:line="276" w:lineRule="auto"/>
        <w:rPr>
          <w:rFonts w:cs="Arial"/>
          <w:i/>
          <w:color w:val="2E74B5"/>
          <w:sz w:val="20"/>
        </w:rPr>
      </w:pPr>
      <w:r w:rsidRPr="00991CC6">
        <w:rPr>
          <w:rFonts w:cs="Arial"/>
          <w:i/>
          <w:color w:val="2E74B5"/>
          <w:sz w:val="20"/>
        </w:rPr>
        <w:t>“…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816072" w:rsidRPr="00991CC6" w:rsidRDefault="00816072" w:rsidP="00991CC6">
      <w:pPr>
        <w:pStyle w:val="corte4fondo"/>
        <w:spacing w:line="276" w:lineRule="auto"/>
        <w:rPr>
          <w:rFonts w:cs="Arial"/>
          <w:i/>
          <w:color w:val="2E74B5"/>
          <w:sz w:val="20"/>
        </w:rPr>
      </w:pPr>
    </w:p>
    <w:p w:rsidR="00816072" w:rsidRPr="00991CC6" w:rsidRDefault="00816072" w:rsidP="00991CC6">
      <w:pPr>
        <w:pStyle w:val="corte4fondo"/>
        <w:spacing w:line="276" w:lineRule="auto"/>
        <w:rPr>
          <w:rFonts w:cs="Arial"/>
          <w:i/>
          <w:color w:val="2E74B5"/>
          <w:sz w:val="20"/>
        </w:rPr>
      </w:pPr>
      <w:r w:rsidRPr="00991CC6">
        <w:rPr>
          <w:rFonts w:cs="Arial"/>
          <w:i/>
          <w:color w:val="2E74B5"/>
          <w:sz w:val="20"/>
        </w:rPr>
        <w:t xml:space="preserve">ARTÍCULO 155. El acceso se dará en la modalidad de entrega y, en su caso, de envío elegidos por el solicitante. Cuando la información no pueda entregarse o enviarse en la modalidad elegida, el sujeto obligado deberá ofrecer otra u otras modalidades de entrega. </w:t>
      </w:r>
    </w:p>
    <w:p w:rsidR="00816072" w:rsidRPr="00991CC6" w:rsidRDefault="00816072" w:rsidP="00991CC6">
      <w:pPr>
        <w:pStyle w:val="corte4fondo"/>
        <w:spacing w:line="276" w:lineRule="auto"/>
        <w:rPr>
          <w:rFonts w:cs="Arial"/>
          <w:i/>
          <w:color w:val="2E74B5"/>
          <w:sz w:val="20"/>
        </w:rPr>
      </w:pPr>
      <w:r w:rsidRPr="00991CC6">
        <w:rPr>
          <w:rFonts w:cs="Arial"/>
          <w:i/>
          <w:color w:val="2E74B5"/>
          <w:sz w:val="20"/>
        </w:rPr>
        <w:t xml:space="preserve"> </w:t>
      </w:r>
    </w:p>
    <w:p w:rsidR="00816072" w:rsidRPr="00991CC6" w:rsidRDefault="00816072" w:rsidP="00991CC6">
      <w:pPr>
        <w:pStyle w:val="corte4fondo"/>
        <w:spacing w:line="276" w:lineRule="auto"/>
        <w:ind w:firstLine="0"/>
        <w:rPr>
          <w:rFonts w:cs="Arial"/>
          <w:i/>
          <w:color w:val="2E74B5"/>
          <w:sz w:val="20"/>
        </w:rPr>
      </w:pPr>
      <w:r w:rsidRPr="00991CC6">
        <w:rPr>
          <w:rFonts w:cs="Arial"/>
          <w:i/>
          <w:color w:val="2E74B5"/>
          <w:sz w:val="20"/>
        </w:rPr>
        <w:t>En cualquier caso, se deberá fundar y motivar la necesidad de ofrecer otras modalidades…”</w:t>
      </w:r>
    </w:p>
    <w:p w:rsidR="00816072" w:rsidRPr="00991CC6" w:rsidRDefault="00816072" w:rsidP="00991CC6">
      <w:pPr>
        <w:pStyle w:val="corte4fondo"/>
        <w:spacing w:line="276" w:lineRule="auto"/>
        <w:ind w:firstLine="0"/>
        <w:rPr>
          <w:rFonts w:cs="Arial"/>
          <w:i/>
          <w:color w:val="2E74B5"/>
          <w:sz w:val="20"/>
        </w:rPr>
      </w:pPr>
    </w:p>
    <w:p w:rsidR="00816072" w:rsidRPr="00991CC6" w:rsidRDefault="00816072" w:rsidP="00991CC6">
      <w:pPr>
        <w:pStyle w:val="NormalWeb"/>
        <w:shd w:val="clear" w:color="auto" w:fill="FFFFFF"/>
        <w:spacing w:before="0" w:beforeAutospacing="0" w:after="0" w:afterAutospacing="0" w:line="276" w:lineRule="auto"/>
        <w:ind w:firstLine="708"/>
        <w:jc w:val="both"/>
        <w:rPr>
          <w:rFonts w:ascii="Arial" w:hAnsi="Arial" w:cs="Arial"/>
          <w:color w:val="2E74B5"/>
        </w:rPr>
      </w:pPr>
      <w:r w:rsidRPr="00991CC6">
        <w:rPr>
          <w:rFonts w:ascii="Arial" w:hAnsi="Arial" w:cs="Arial"/>
          <w:color w:val="2E74B5"/>
        </w:rPr>
        <w:t xml:space="preserve">En referencia al primer artículo se apunta la obligación de turnar la solicitud de información a todas las unidades administrativas, con base en las </w:t>
      </w:r>
      <w:r w:rsidRPr="00991CC6">
        <w:rPr>
          <w:rFonts w:ascii="Arial" w:hAnsi="Arial" w:cs="Arial"/>
          <w:color w:val="2E74B5"/>
        </w:rPr>
        <w:lastRenderedPageBreak/>
        <w:t>competencias y funciones de dichas áreas, a fin de que realicen una búsqueda minuciosa en sus archivos tanto físicos como electrónicos.</w:t>
      </w:r>
    </w:p>
    <w:p w:rsidR="00816072" w:rsidRPr="00991CC6" w:rsidRDefault="00816072" w:rsidP="00991CC6">
      <w:pPr>
        <w:pStyle w:val="NormalWeb"/>
        <w:shd w:val="clear" w:color="auto" w:fill="FFFFFF"/>
        <w:spacing w:before="0" w:beforeAutospacing="0" w:after="0" w:afterAutospacing="0" w:line="276" w:lineRule="auto"/>
        <w:jc w:val="both"/>
        <w:rPr>
          <w:rFonts w:ascii="Arial" w:hAnsi="Arial" w:cs="Arial"/>
          <w:color w:val="2E74B5"/>
        </w:rPr>
      </w:pPr>
      <w:r w:rsidRPr="00991CC6">
        <w:rPr>
          <w:rFonts w:ascii="Arial" w:hAnsi="Arial" w:cs="Arial"/>
          <w:color w:val="2E74B5"/>
        </w:rPr>
        <w:t> </w:t>
      </w:r>
    </w:p>
    <w:p w:rsidR="00816072" w:rsidRPr="00991CC6" w:rsidRDefault="00816072" w:rsidP="00991CC6">
      <w:pPr>
        <w:pStyle w:val="NormalWeb"/>
        <w:shd w:val="clear" w:color="auto" w:fill="FFFFFF"/>
        <w:spacing w:before="0" w:beforeAutospacing="0" w:after="0" w:afterAutospacing="0" w:line="276" w:lineRule="auto"/>
        <w:ind w:firstLine="708"/>
        <w:jc w:val="both"/>
        <w:rPr>
          <w:rFonts w:ascii="Arial" w:hAnsi="Arial" w:cs="Arial"/>
          <w:color w:val="2E74B5"/>
        </w:rPr>
      </w:pPr>
      <w:r w:rsidRPr="00991CC6">
        <w:rPr>
          <w:rFonts w:ascii="Arial" w:hAnsi="Arial" w:cs="Arial"/>
          <w:color w:val="2E74B5"/>
        </w:rPr>
        <w:t xml:space="preserve">Y por lo que toca al segundo de los numerales, se establece que el acceso a la información se deberá de otorgar en la modalidad elegida por el solicitante, ya que de ser el caso de que la información no se pueda entregar en la modalidad elegida, el sujeto obligado deberá ofrecer otra u otras modalidades de entrega, de manera fundada y motivada. </w:t>
      </w:r>
    </w:p>
    <w:p w:rsidR="00816072" w:rsidRPr="00991CC6" w:rsidRDefault="00816072" w:rsidP="00991CC6">
      <w:pPr>
        <w:pStyle w:val="corte4fondo"/>
        <w:spacing w:line="276" w:lineRule="auto"/>
        <w:rPr>
          <w:rFonts w:cs="Arial"/>
          <w:color w:val="2E74B5" w:themeColor="accent1" w:themeShade="BF"/>
          <w:sz w:val="24"/>
          <w:szCs w:val="24"/>
        </w:rPr>
      </w:pPr>
    </w:p>
    <w:p w:rsidR="00CE13A5" w:rsidRPr="00DA790D" w:rsidRDefault="00DA790D" w:rsidP="00003CFE">
      <w:pPr>
        <w:pStyle w:val="corte4fondo"/>
        <w:spacing w:line="276" w:lineRule="auto"/>
        <w:ind w:firstLine="708"/>
        <w:rPr>
          <w:rFonts w:cs="Arial"/>
          <w:color w:val="2E74B5" w:themeColor="accent1" w:themeShade="BF"/>
          <w:sz w:val="23"/>
          <w:szCs w:val="23"/>
        </w:rPr>
      </w:pPr>
      <w:r w:rsidRPr="00DA790D">
        <w:rPr>
          <w:rFonts w:cs="Arial"/>
          <w:b/>
          <w:color w:val="2E74B5" w:themeColor="accent1" w:themeShade="BF"/>
          <w:sz w:val="23"/>
          <w:szCs w:val="23"/>
        </w:rPr>
        <w:t>6.2</w:t>
      </w:r>
      <w:r w:rsidR="00CE13A5" w:rsidRPr="00DA790D">
        <w:rPr>
          <w:rFonts w:cs="Arial"/>
          <w:b/>
          <w:color w:val="2E74B5" w:themeColor="accent1" w:themeShade="BF"/>
          <w:sz w:val="23"/>
          <w:szCs w:val="23"/>
        </w:rPr>
        <w:t>.</w:t>
      </w:r>
      <w:r w:rsidR="00CE13A5" w:rsidRPr="00DA790D">
        <w:rPr>
          <w:rFonts w:cs="Arial"/>
          <w:color w:val="2E74B5" w:themeColor="accent1" w:themeShade="BF"/>
          <w:sz w:val="23"/>
          <w:szCs w:val="23"/>
        </w:rPr>
        <w:t xml:space="preserve"> </w:t>
      </w:r>
      <w:r w:rsidR="00CE13A5" w:rsidRPr="00DA790D">
        <w:rPr>
          <w:rFonts w:cs="Arial"/>
          <w:b/>
          <w:color w:val="2E74B5" w:themeColor="accent1" w:themeShade="BF"/>
          <w:sz w:val="23"/>
          <w:szCs w:val="23"/>
        </w:rPr>
        <w:t>Inexistencia de la información</w:t>
      </w:r>
      <w:r w:rsidR="00CE13A5" w:rsidRPr="00DA790D">
        <w:rPr>
          <w:rFonts w:cs="Arial"/>
          <w:color w:val="2E74B5" w:themeColor="accent1" w:themeShade="BF"/>
          <w:sz w:val="23"/>
          <w:szCs w:val="23"/>
        </w:rPr>
        <w:t>.</w:t>
      </w:r>
    </w:p>
    <w:p w:rsidR="00CE13A5" w:rsidRPr="00DA790D" w:rsidRDefault="00CE13A5" w:rsidP="00991CC6">
      <w:pPr>
        <w:pStyle w:val="corte4fondo"/>
        <w:spacing w:line="276" w:lineRule="auto"/>
        <w:ind w:firstLine="0"/>
        <w:rPr>
          <w:rFonts w:cs="Arial"/>
          <w:color w:val="2E74B5" w:themeColor="accent1" w:themeShade="BF"/>
          <w:sz w:val="23"/>
          <w:szCs w:val="23"/>
        </w:rPr>
      </w:pPr>
    </w:p>
    <w:p w:rsidR="00CE13A5" w:rsidRPr="00DA790D" w:rsidRDefault="00CE13A5" w:rsidP="00991CC6">
      <w:pPr>
        <w:pStyle w:val="corte4fondo"/>
        <w:spacing w:line="276" w:lineRule="auto"/>
        <w:ind w:firstLine="0"/>
        <w:rPr>
          <w:rFonts w:cs="Arial"/>
          <w:color w:val="2E74B5" w:themeColor="accent1" w:themeShade="BF"/>
          <w:sz w:val="24"/>
          <w:szCs w:val="24"/>
        </w:rPr>
      </w:pPr>
      <w:r w:rsidRPr="00DA790D">
        <w:rPr>
          <w:rFonts w:cs="Arial"/>
          <w:color w:val="2E74B5" w:themeColor="accent1" w:themeShade="BF"/>
          <w:sz w:val="23"/>
          <w:szCs w:val="23"/>
        </w:rPr>
        <w:tab/>
        <w:t xml:space="preserve">Ahora, en caso de que el sujeto obligado insista en que la información no existe, debe, de acuerdo al procedimiento establecido en la ley de la materia declarar formalmente la inexistencia de acuerdo </w:t>
      </w:r>
      <w:r w:rsidRPr="00DA790D">
        <w:rPr>
          <w:rFonts w:cs="Arial"/>
          <w:color w:val="2E74B5" w:themeColor="accent1" w:themeShade="BF"/>
          <w:sz w:val="24"/>
          <w:szCs w:val="24"/>
        </w:rPr>
        <w:t>con los artículos 19, 52, fracciones II y II, 160, fracciones I, II y III y 161</w:t>
      </w:r>
      <w:r w:rsidRPr="00DA790D">
        <w:rPr>
          <w:rStyle w:val="Refdenotaalpie"/>
          <w:rFonts w:cs="Arial"/>
          <w:color w:val="2E74B5" w:themeColor="accent1" w:themeShade="BF"/>
          <w:sz w:val="24"/>
          <w:szCs w:val="24"/>
        </w:rPr>
        <w:footnoteReference w:id="3"/>
      </w:r>
      <w:r w:rsidRPr="00DA790D">
        <w:rPr>
          <w:rFonts w:cs="Arial"/>
          <w:color w:val="2E74B5" w:themeColor="accent1" w:themeShade="BF"/>
          <w:sz w:val="24"/>
          <w:szCs w:val="24"/>
        </w:rPr>
        <w:t xml:space="preserve">, de la </w:t>
      </w:r>
      <w:r w:rsidRPr="00DA790D">
        <w:rPr>
          <w:rFonts w:cs="Arial"/>
          <w:color w:val="2E74B5" w:themeColor="accent1" w:themeShade="BF"/>
          <w:sz w:val="23"/>
          <w:szCs w:val="23"/>
        </w:rPr>
        <w:t>Ley de Transparencia y Acceso a la Información Pública del Estado</w:t>
      </w:r>
      <w:r w:rsidRPr="00DA790D">
        <w:rPr>
          <w:rFonts w:cs="Arial"/>
          <w:color w:val="2E74B5" w:themeColor="accent1" w:themeShade="BF"/>
          <w:sz w:val="24"/>
          <w:szCs w:val="24"/>
        </w:rPr>
        <w:t xml:space="preserve"> que establecen que se presume que la información debe existir si se refiere a las facultades, competencias y funciones que los ordenamientos jurídicos aplicables otorgan a los sujetos obligados y que en caso de que lo anterior no se hayan ejercido, se debe motivar la respuesta en función de las causas que motiven la inexistencia.</w:t>
      </w:r>
    </w:p>
    <w:p w:rsidR="00816072" w:rsidRPr="00991CC6" w:rsidRDefault="00816072" w:rsidP="00991CC6">
      <w:pPr>
        <w:pStyle w:val="corte4fondo"/>
        <w:spacing w:line="276" w:lineRule="auto"/>
        <w:rPr>
          <w:rFonts w:cs="Arial"/>
          <w:color w:val="2E74B5" w:themeColor="accent1" w:themeShade="BF"/>
          <w:sz w:val="24"/>
          <w:szCs w:val="24"/>
        </w:rPr>
      </w:pPr>
    </w:p>
    <w:p w:rsidR="00D614DF" w:rsidRPr="00991CC6" w:rsidRDefault="000F1A0F" w:rsidP="00991CC6">
      <w:pPr>
        <w:pStyle w:val="corte4fondo"/>
        <w:tabs>
          <w:tab w:val="left" w:pos="567"/>
        </w:tabs>
        <w:spacing w:line="276" w:lineRule="auto"/>
        <w:ind w:firstLine="0"/>
        <w:rPr>
          <w:rFonts w:cs="Arial"/>
          <w:color w:val="2E74B5" w:themeColor="accent1" w:themeShade="BF"/>
          <w:sz w:val="24"/>
          <w:szCs w:val="24"/>
        </w:rPr>
      </w:pPr>
      <w:r w:rsidRPr="00991CC6">
        <w:rPr>
          <w:rFonts w:cs="Arial"/>
          <w:b/>
          <w:color w:val="2E74B5" w:themeColor="accent1" w:themeShade="BF"/>
          <w:sz w:val="24"/>
          <w:szCs w:val="24"/>
        </w:rPr>
        <w:tab/>
      </w:r>
      <w:r w:rsidR="00D614DF" w:rsidRPr="00991CC6">
        <w:rPr>
          <w:rFonts w:cs="Arial"/>
          <w:b/>
          <w:color w:val="2E74B5" w:themeColor="accent1" w:themeShade="BF"/>
          <w:sz w:val="24"/>
          <w:szCs w:val="24"/>
        </w:rPr>
        <w:t>6.</w:t>
      </w:r>
      <w:r w:rsidR="00DA790D">
        <w:rPr>
          <w:rFonts w:cs="Arial"/>
          <w:b/>
          <w:color w:val="2E74B5" w:themeColor="accent1" w:themeShade="BF"/>
          <w:sz w:val="24"/>
          <w:szCs w:val="24"/>
        </w:rPr>
        <w:t>3</w:t>
      </w:r>
      <w:r w:rsidR="00D614DF" w:rsidRPr="00991CC6">
        <w:rPr>
          <w:rFonts w:cs="Arial"/>
          <w:b/>
          <w:color w:val="2E74B5" w:themeColor="accent1" w:themeShade="BF"/>
          <w:sz w:val="24"/>
          <w:szCs w:val="24"/>
        </w:rPr>
        <w:t>. Modalidad de entrega</w:t>
      </w:r>
      <w:r w:rsidR="00D614DF" w:rsidRPr="00991CC6">
        <w:rPr>
          <w:rFonts w:cs="Arial"/>
          <w:color w:val="2E74B5" w:themeColor="accent1" w:themeShade="BF"/>
          <w:sz w:val="24"/>
          <w:szCs w:val="24"/>
        </w:rPr>
        <w:t>.</w:t>
      </w:r>
    </w:p>
    <w:p w:rsidR="00D614DF" w:rsidRPr="00991CC6" w:rsidRDefault="00D614DF" w:rsidP="00991CC6">
      <w:pPr>
        <w:pStyle w:val="corte4fondo"/>
        <w:spacing w:line="276" w:lineRule="auto"/>
        <w:ind w:firstLine="0"/>
        <w:rPr>
          <w:rFonts w:cs="Arial"/>
          <w:color w:val="2E74B5" w:themeColor="accent1" w:themeShade="BF"/>
          <w:sz w:val="24"/>
          <w:szCs w:val="24"/>
        </w:rPr>
      </w:pPr>
    </w:p>
    <w:p w:rsidR="00D614DF" w:rsidRPr="00991CC6" w:rsidRDefault="00D614DF" w:rsidP="00991CC6">
      <w:pPr>
        <w:pStyle w:val="Prrafodelista"/>
        <w:spacing w:after="0"/>
        <w:ind w:left="0"/>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ab/>
        <w:t>Sobre este tópico los artículos 17, 146, fracción V, primer párrafo y 155, de la Ley de Transparencia establecen que:</w:t>
      </w:r>
    </w:p>
    <w:p w:rsidR="00D614DF" w:rsidRPr="00991CC6" w:rsidRDefault="00D614DF" w:rsidP="00991CC6">
      <w:pPr>
        <w:pStyle w:val="Prrafodelista"/>
        <w:spacing w:after="0"/>
        <w:ind w:left="0"/>
        <w:jc w:val="both"/>
        <w:rPr>
          <w:rFonts w:ascii="Arial" w:hAnsi="Arial" w:cs="Arial"/>
          <w:color w:val="2E74B5" w:themeColor="accent1" w:themeShade="BF"/>
          <w:sz w:val="24"/>
          <w:szCs w:val="24"/>
        </w:rPr>
      </w:pP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4"/>
          <w:szCs w:val="24"/>
        </w:rPr>
      </w:pPr>
      <w:r w:rsidRPr="00991CC6">
        <w:rPr>
          <w:rFonts w:cs="Arial"/>
          <w:b/>
          <w:bCs/>
          <w:i/>
          <w:color w:val="2E74B5" w:themeColor="accent1" w:themeShade="BF"/>
          <w:sz w:val="20"/>
        </w:rPr>
        <w:t xml:space="preserve">ARTÍCULO 17. </w:t>
      </w:r>
      <w:r w:rsidRPr="00991CC6">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i/>
          <w:color w:val="2E74B5" w:themeColor="accent1" w:themeShade="BF"/>
          <w:sz w:val="20"/>
        </w:rPr>
        <w:t>En ningún caso los ajustes razonables que se realicen para el acceso de la información de solicitantes con discapacidad, será con costo a los mismos.</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
          <w:bCs/>
          <w:i/>
          <w:color w:val="2E74B5" w:themeColor="accent1" w:themeShade="BF"/>
          <w:sz w:val="20"/>
        </w:rPr>
        <w:t xml:space="preserve">ARTÍCULO 146. </w:t>
      </w:r>
      <w:r w:rsidRPr="00991CC6">
        <w:rPr>
          <w:rFonts w:cs="Arial"/>
          <w:i/>
          <w:color w:val="2E74B5" w:themeColor="accent1" w:themeShade="BF"/>
          <w:sz w:val="20"/>
        </w:rPr>
        <w:t xml:space="preserve">Para presentar una solicitud no se podrán exigir mayores requisitos que los siguientes: </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Cs/>
          <w:i/>
          <w:color w:val="2E74B5" w:themeColor="accent1" w:themeShade="BF"/>
          <w:sz w:val="20"/>
        </w:rPr>
        <w:t>[…]</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
          <w:bCs/>
          <w:i/>
          <w:color w:val="2E74B5" w:themeColor="accent1" w:themeShade="BF"/>
          <w:sz w:val="20"/>
        </w:rPr>
        <w:t xml:space="preserve">V. </w:t>
      </w:r>
      <w:r w:rsidRPr="00991CC6">
        <w:rPr>
          <w:rFonts w:cs="Arial"/>
          <w:i/>
          <w:color w:val="2E74B5" w:themeColor="accent1" w:themeShade="BF"/>
          <w:sz w:val="20"/>
        </w:rPr>
        <w:t xml:space="preserve">La modalidad en la que prefiere se otorgue el acceso a la información, la cual podrá ser verbal, siempre y cuando sea para fines de orientación, mediante consulta directa, mediante </w:t>
      </w:r>
      <w:r w:rsidRPr="00991CC6">
        <w:rPr>
          <w:rFonts w:cs="Arial"/>
          <w:i/>
          <w:color w:val="2E74B5" w:themeColor="accent1" w:themeShade="BF"/>
          <w:sz w:val="20"/>
        </w:rPr>
        <w:lastRenderedPageBreak/>
        <w:t>la expedición de copias simples o certificadas o la reproducción en cualquier otro medio, incluidos los electrónicos…</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b/>
          <w:i/>
          <w:color w:val="2E74B5" w:themeColor="accent1" w:themeShade="BF"/>
          <w:sz w:val="20"/>
        </w:rPr>
        <w:t>ARTÍCULO 155.</w:t>
      </w:r>
      <w:r w:rsidRPr="00991CC6">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r w:rsidRPr="00991CC6">
        <w:rPr>
          <w:rFonts w:cs="Arial"/>
          <w:i/>
          <w:color w:val="2E74B5" w:themeColor="accent1" w:themeShade="BF"/>
          <w:sz w:val="20"/>
        </w:rPr>
        <w:t>En cualquier caso, se deberá fundar y motivar la necesidad de ofrecer otras modalidades.</w:t>
      </w:r>
    </w:p>
    <w:p w:rsidR="00D614DF" w:rsidRPr="00991CC6" w:rsidRDefault="00D614DF" w:rsidP="00991CC6">
      <w:pPr>
        <w:pStyle w:val="corte4fondo"/>
        <w:tabs>
          <w:tab w:val="left" w:pos="567"/>
        </w:tabs>
        <w:spacing w:line="276" w:lineRule="auto"/>
        <w:ind w:left="567" w:firstLine="0"/>
        <w:rPr>
          <w:rFonts w:cs="Arial"/>
          <w:i/>
          <w:color w:val="2E74B5" w:themeColor="accent1" w:themeShade="BF"/>
          <w:sz w:val="20"/>
        </w:rPr>
      </w:pPr>
    </w:p>
    <w:p w:rsidR="00D614DF" w:rsidRPr="00991CC6" w:rsidRDefault="00D614DF" w:rsidP="00991CC6">
      <w:pPr>
        <w:pStyle w:val="corte4fondo"/>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D614DF" w:rsidRPr="00991CC6" w:rsidRDefault="00D614DF" w:rsidP="00991CC6">
      <w:pPr>
        <w:pStyle w:val="corte4fondo"/>
        <w:spacing w:line="276" w:lineRule="auto"/>
        <w:ind w:firstLine="0"/>
        <w:rPr>
          <w:rFonts w:cs="Arial"/>
          <w:color w:val="2E74B5" w:themeColor="accent1" w:themeShade="BF"/>
          <w:sz w:val="24"/>
          <w:szCs w:val="24"/>
        </w:rPr>
      </w:pPr>
    </w:p>
    <w:p w:rsidR="00D614DF" w:rsidRPr="00991CC6" w:rsidRDefault="00D614DF" w:rsidP="00991CC6">
      <w:pPr>
        <w:pStyle w:val="corte4fondo"/>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D614DF" w:rsidRPr="00991CC6" w:rsidRDefault="00D614DF" w:rsidP="00991CC6">
      <w:pPr>
        <w:pStyle w:val="corte4fondo"/>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 xml:space="preserve"> </w:t>
      </w: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sidRPr="00991CC6">
        <w:rPr>
          <w:rFonts w:cs="Arial"/>
          <w:color w:val="2E74B5" w:themeColor="accent1" w:themeShade="BF"/>
          <w:sz w:val="24"/>
          <w:szCs w:val="24"/>
          <w:u w:val="single"/>
        </w:rPr>
        <w:t xml:space="preserve">la regla es que el acceso se dará en la modalidad de solicitada </w:t>
      </w:r>
      <w:r w:rsidRPr="00991CC6">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r w:rsidRPr="00991CC6">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D614DF" w:rsidRPr="00991CC6" w:rsidRDefault="00D614DF" w:rsidP="00991CC6">
      <w:pPr>
        <w:pStyle w:val="corte4fondo"/>
        <w:tabs>
          <w:tab w:val="left" w:pos="0"/>
        </w:tabs>
        <w:spacing w:line="276" w:lineRule="auto"/>
        <w:ind w:firstLine="0"/>
        <w:rPr>
          <w:rFonts w:cs="Arial"/>
          <w:color w:val="2E74B5" w:themeColor="accent1" w:themeShade="BF"/>
          <w:sz w:val="24"/>
          <w:szCs w:val="24"/>
        </w:rPr>
      </w:pPr>
    </w:p>
    <w:p w:rsidR="00D614DF" w:rsidRPr="00991CC6" w:rsidRDefault="00D614DF" w:rsidP="00991CC6">
      <w:pPr>
        <w:spacing w:after="0"/>
        <w:jc w:val="both"/>
        <w:rPr>
          <w:rFonts w:ascii="Arial" w:eastAsia="Times New Roman" w:hAnsi="Arial" w:cs="Arial"/>
          <w:color w:val="2E74B5" w:themeColor="accent1" w:themeShade="BF"/>
          <w:sz w:val="24"/>
          <w:szCs w:val="24"/>
        </w:rPr>
      </w:pPr>
      <w:r w:rsidRPr="00991CC6">
        <w:rPr>
          <w:rFonts w:ascii="Arial" w:hAnsi="Arial" w:cs="Arial"/>
          <w:color w:val="2E74B5" w:themeColor="accent1" w:themeShade="BF"/>
          <w:sz w:val="24"/>
          <w:szCs w:val="24"/>
        </w:rPr>
        <w:tab/>
        <w:t xml:space="preserve">Lo anterior, incluso encuentra sustento en </w:t>
      </w:r>
      <w:r w:rsidRPr="00991CC6">
        <w:rPr>
          <w:rFonts w:ascii="Arial" w:eastAsia="Times New Roman" w:hAnsi="Arial" w:cs="Arial"/>
          <w:color w:val="2E74B5" w:themeColor="accent1" w:themeShade="BF"/>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D614DF" w:rsidRPr="00991CC6" w:rsidRDefault="00D614DF" w:rsidP="00991CC6">
      <w:pPr>
        <w:spacing w:after="0"/>
        <w:jc w:val="both"/>
        <w:rPr>
          <w:rFonts w:ascii="Arial" w:eastAsia="Times New Roman" w:hAnsi="Arial" w:cs="Arial"/>
          <w:color w:val="2E74B5" w:themeColor="accent1" w:themeShade="BF"/>
          <w:sz w:val="24"/>
          <w:szCs w:val="24"/>
        </w:rPr>
      </w:pPr>
    </w:p>
    <w:p w:rsidR="00D614DF" w:rsidRPr="00991CC6" w:rsidRDefault="00D614DF" w:rsidP="00991CC6">
      <w:pPr>
        <w:autoSpaceDE w:val="0"/>
        <w:autoSpaceDN w:val="0"/>
        <w:adjustRightInd w:val="0"/>
        <w:spacing w:after="0"/>
        <w:ind w:left="708"/>
        <w:jc w:val="both"/>
        <w:rPr>
          <w:rFonts w:ascii="Arial" w:eastAsia="Times New Roman" w:hAnsi="Arial" w:cs="Arial"/>
          <w:color w:val="2E74B5" w:themeColor="accent1" w:themeShade="BF"/>
          <w:sz w:val="20"/>
          <w:szCs w:val="20"/>
          <w:lang w:eastAsia="es-MX"/>
        </w:rPr>
      </w:pPr>
      <w:r w:rsidRPr="00991CC6">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991CC6">
        <w:rPr>
          <w:rFonts w:ascii="Arial" w:eastAsia="Times New Roman" w:hAnsi="Arial" w:cs="Arial"/>
          <w:color w:val="2E74B5" w:themeColor="accent1" w:themeShade="BF"/>
          <w:sz w:val="20"/>
          <w:szCs w:val="20"/>
          <w:lang w:eastAsia="es-MX"/>
        </w:rPr>
        <w:t>El ejercicio del derecho</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acceso a la información gubernamental no se entiende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forma abstracta y desvinculada a la forma en que los</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gobernados pueden allegarse de aquélla; destacándose que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la modalidad de entrega de la información resulta de especial</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interés para hacer efectivo este derecho. En este sentido,</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la Comisión para la Transparencia y Acceso a la Información</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la Suprema Corte de Justicia de la Nación (recurso de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revisión 1/2005) determinó que el acceso a la información</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cuando esta fue la remisión por medios electrónicos,</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toda vez que el otorgamiento en una diversa puede constituir</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un obstáculo material para el ejercicio del derecho</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acceso a la información tutelado en el artículo 6° constitucional.</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 xml:space="preserve">Por lo tanto, si </w:t>
      </w:r>
      <w:r w:rsidRPr="00991CC6">
        <w:rPr>
          <w:rFonts w:ascii="Arial" w:eastAsia="Times New Roman" w:hAnsi="Arial" w:cs="Arial"/>
          <w:color w:val="2E74B5" w:themeColor="accent1" w:themeShade="BF"/>
          <w:sz w:val="20"/>
          <w:szCs w:val="20"/>
          <w:lang w:eastAsia="es-MX"/>
        </w:rPr>
        <w:lastRenderedPageBreak/>
        <w:t>el peticionario solicita por vía</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electrónica determinada información sin precisar la modalidad</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de su preferencia debe presumirse que la requiere</w:t>
      </w:r>
      <w:r w:rsidRPr="00991CC6">
        <w:rPr>
          <w:rFonts w:ascii="Arial" w:eastAsia="Times New Roman" w:hAnsi="Arial" w:cs="Arial"/>
          <w:b/>
          <w:bCs/>
          <w:color w:val="2E74B5" w:themeColor="accent1" w:themeShade="BF"/>
          <w:sz w:val="20"/>
          <w:szCs w:val="20"/>
          <w:lang w:eastAsia="es-MX"/>
        </w:rPr>
        <w:t xml:space="preserve"> </w:t>
      </w:r>
      <w:r w:rsidRPr="00991CC6">
        <w:rPr>
          <w:rFonts w:ascii="Arial" w:eastAsia="Times New Roman" w:hAnsi="Arial" w:cs="Arial"/>
          <w:color w:val="2E74B5" w:themeColor="accent1" w:themeShade="BF"/>
          <w:sz w:val="20"/>
          <w:szCs w:val="20"/>
          <w:lang w:eastAsia="es-MX"/>
        </w:rPr>
        <w:t>por esa misma vía.</w:t>
      </w:r>
    </w:p>
    <w:p w:rsidR="00D614DF" w:rsidRPr="00991CC6" w:rsidRDefault="00D614DF" w:rsidP="00991CC6">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D614DF" w:rsidRPr="00991CC6" w:rsidRDefault="00D614DF" w:rsidP="00991CC6">
      <w:pPr>
        <w:autoSpaceDE w:val="0"/>
        <w:autoSpaceDN w:val="0"/>
        <w:adjustRightInd w:val="0"/>
        <w:spacing w:after="0"/>
        <w:jc w:val="both"/>
        <w:rPr>
          <w:rFonts w:ascii="Arial" w:eastAsia="Times New Roman" w:hAnsi="Arial" w:cs="Arial"/>
          <w:bCs/>
          <w:color w:val="2E74B5" w:themeColor="accent1" w:themeShade="BF"/>
          <w:sz w:val="24"/>
          <w:szCs w:val="24"/>
          <w:lang w:eastAsia="es-MX"/>
        </w:rPr>
      </w:pPr>
      <w:r w:rsidRPr="00991CC6">
        <w:rPr>
          <w:rFonts w:ascii="Arial" w:eastAsia="Times New Roman" w:hAnsi="Arial" w:cs="Arial"/>
          <w:bCs/>
          <w:color w:val="2E74B5" w:themeColor="accent1" w:themeShade="BF"/>
          <w:sz w:val="24"/>
          <w:szCs w:val="24"/>
          <w:lang w:eastAsia="es-MX"/>
        </w:rPr>
        <w:tab/>
        <w:t>Criterio que de conformidad con el artículo 7°</w:t>
      </w:r>
      <w:r w:rsidRPr="00991CC6">
        <w:rPr>
          <w:rFonts w:ascii="Arial" w:eastAsia="Times New Roman" w:hAnsi="Arial" w:cs="Arial"/>
          <w:bCs/>
          <w:color w:val="2E74B5" w:themeColor="accent1" w:themeShade="BF"/>
          <w:sz w:val="24"/>
          <w:szCs w:val="24"/>
          <w:vertAlign w:val="superscript"/>
          <w:lang w:eastAsia="es-MX"/>
        </w:rPr>
        <w:footnoteReference w:id="4"/>
      </w:r>
      <w:r w:rsidRPr="00991CC6">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D614DF" w:rsidRPr="00991CC6" w:rsidRDefault="00D614DF" w:rsidP="00991CC6">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D614DF" w:rsidRPr="00991CC6" w:rsidRDefault="00D614DF" w:rsidP="00991CC6">
      <w:pPr>
        <w:autoSpaceDE w:val="0"/>
        <w:autoSpaceDN w:val="0"/>
        <w:adjustRightInd w:val="0"/>
        <w:spacing w:after="0"/>
        <w:ind w:firstLine="708"/>
        <w:jc w:val="both"/>
        <w:rPr>
          <w:rFonts w:ascii="Arial" w:hAnsi="Arial" w:cs="Arial"/>
          <w:color w:val="2E74B5" w:themeColor="accent1" w:themeShade="BF"/>
          <w:sz w:val="24"/>
          <w:szCs w:val="24"/>
        </w:rPr>
      </w:pPr>
      <w:r w:rsidRPr="00991CC6">
        <w:rPr>
          <w:rFonts w:ascii="Arial" w:eastAsia="Times New Roman" w:hAnsi="Arial" w:cs="Arial"/>
          <w:bCs/>
          <w:color w:val="2E74B5" w:themeColor="accent1" w:themeShade="BF"/>
          <w:sz w:val="24"/>
          <w:szCs w:val="24"/>
          <w:lang w:eastAsia="es-MX"/>
        </w:rPr>
        <w:t xml:space="preserve">Además, de que sólo en caso de que la autoridad no tenga la información en la modalidad solicitada, entonces </w:t>
      </w:r>
      <w:r w:rsidRPr="00991CC6">
        <w:rPr>
          <w:rFonts w:ascii="Arial" w:hAnsi="Arial" w:cs="Arial"/>
          <w:color w:val="2E74B5" w:themeColor="accent1" w:themeShade="BF"/>
          <w:sz w:val="24"/>
          <w:szCs w:val="24"/>
        </w:rPr>
        <w:t>debe pronunciarse sobre la imposición del artículo 165</w:t>
      </w:r>
      <w:r w:rsidRPr="00991CC6">
        <w:rPr>
          <w:rStyle w:val="Refdenotaalpie"/>
          <w:rFonts w:ascii="Arial" w:hAnsi="Arial" w:cs="Arial"/>
          <w:color w:val="2E74B5" w:themeColor="accent1" w:themeShade="BF"/>
          <w:sz w:val="24"/>
          <w:szCs w:val="24"/>
        </w:rPr>
        <w:footnoteReference w:id="5"/>
      </w:r>
      <w:r w:rsidRPr="00991CC6">
        <w:rPr>
          <w:rFonts w:ascii="Arial" w:hAnsi="Arial" w:cs="Arial"/>
          <w:color w:val="2E74B5" w:themeColor="accent1" w:themeShade="BF"/>
          <w:sz w:val="24"/>
          <w:szCs w:val="24"/>
        </w:rPr>
        <w:t>, segundo párrafo, de la Ley de Transparencia, que le impone la 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CE13A5" w:rsidRPr="00C877B1" w:rsidRDefault="00CE13A5" w:rsidP="00991CC6">
      <w:pPr>
        <w:autoSpaceDE w:val="0"/>
        <w:autoSpaceDN w:val="0"/>
        <w:adjustRightInd w:val="0"/>
        <w:spacing w:after="0"/>
        <w:ind w:firstLine="708"/>
        <w:jc w:val="both"/>
        <w:rPr>
          <w:rFonts w:ascii="Arial" w:hAnsi="Arial" w:cs="Arial"/>
          <w:b/>
          <w:color w:val="2E74B5" w:themeColor="accent1" w:themeShade="BF"/>
          <w:sz w:val="24"/>
          <w:szCs w:val="24"/>
        </w:rPr>
      </w:pPr>
    </w:p>
    <w:p w:rsidR="00CE13A5" w:rsidRDefault="00DA790D" w:rsidP="00991CC6">
      <w:pPr>
        <w:autoSpaceDE w:val="0"/>
        <w:autoSpaceDN w:val="0"/>
        <w:adjustRightInd w:val="0"/>
        <w:spacing w:after="0"/>
        <w:ind w:firstLine="708"/>
        <w:jc w:val="both"/>
        <w:rPr>
          <w:rFonts w:ascii="Arial" w:hAnsi="Arial" w:cs="Arial"/>
          <w:b/>
          <w:color w:val="2E74B5" w:themeColor="accent1" w:themeShade="BF"/>
          <w:sz w:val="24"/>
          <w:szCs w:val="24"/>
        </w:rPr>
      </w:pPr>
      <w:r w:rsidRPr="001930A8">
        <w:rPr>
          <w:rFonts w:ascii="Arial" w:hAnsi="Arial" w:cs="Arial"/>
          <w:b/>
          <w:color w:val="2E74B5" w:themeColor="accent1" w:themeShade="BF"/>
          <w:sz w:val="24"/>
          <w:szCs w:val="24"/>
        </w:rPr>
        <w:t>6.4</w:t>
      </w:r>
      <w:r w:rsidR="00CE13A5" w:rsidRPr="001930A8">
        <w:rPr>
          <w:rFonts w:ascii="Arial" w:hAnsi="Arial" w:cs="Arial"/>
          <w:b/>
          <w:color w:val="2E74B5" w:themeColor="accent1" w:themeShade="BF"/>
          <w:sz w:val="24"/>
          <w:szCs w:val="24"/>
        </w:rPr>
        <w:t xml:space="preserve"> Exhorto.</w:t>
      </w:r>
      <w:r w:rsidR="00CE13A5" w:rsidRPr="00C877B1">
        <w:rPr>
          <w:rFonts w:ascii="Arial" w:hAnsi="Arial" w:cs="Arial"/>
          <w:b/>
          <w:color w:val="2E74B5" w:themeColor="accent1" w:themeShade="BF"/>
          <w:sz w:val="24"/>
          <w:szCs w:val="24"/>
        </w:rPr>
        <w:t xml:space="preserve"> </w:t>
      </w:r>
      <w:r w:rsidR="00D74DE9">
        <w:rPr>
          <w:rFonts w:ascii="Arial" w:hAnsi="Arial" w:cs="Arial"/>
          <w:b/>
          <w:color w:val="2E74B5" w:themeColor="accent1" w:themeShade="BF"/>
          <w:sz w:val="24"/>
          <w:szCs w:val="24"/>
        </w:rPr>
        <w:t xml:space="preserve">  </w:t>
      </w:r>
    </w:p>
    <w:p w:rsidR="00D74DE9" w:rsidRDefault="00D74DE9" w:rsidP="00991CC6">
      <w:pPr>
        <w:autoSpaceDE w:val="0"/>
        <w:autoSpaceDN w:val="0"/>
        <w:adjustRightInd w:val="0"/>
        <w:spacing w:after="0"/>
        <w:ind w:firstLine="708"/>
        <w:jc w:val="both"/>
        <w:rPr>
          <w:rFonts w:ascii="Arial" w:hAnsi="Arial" w:cs="Arial"/>
          <w:b/>
          <w:color w:val="2E74B5" w:themeColor="accent1" w:themeShade="BF"/>
          <w:sz w:val="24"/>
          <w:szCs w:val="24"/>
        </w:rPr>
      </w:pP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lang w:val="es-MX"/>
        </w:rPr>
      </w:pPr>
      <w:r w:rsidRPr="00754EC4">
        <w:rPr>
          <w:rFonts w:ascii="Arial" w:hAnsi="Arial" w:cs="Arial"/>
          <w:color w:val="2E74B5" w:themeColor="accent1" w:themeShade="BF"/>
        </w:rPr>
        <w:t xml:space="preserve">No obstante, lo anterior, </w:t>
      </w:r>
      <w:r w:rsidR="004957F0">
        <w:rPr>
          <w:rFonts w:ascii="Arial" w:hAnsi="Arial" w:cs="Arial"/>
          <w:color w:val="2E74B5" w:themeColor="accent1" w:themeShade="BF"/>
          <w:lang w:val="es-MX"/>
        </w:rPr>
        <w:t>con fundamento en los</w:t>
      </w:r>
      <w:r w:rsidRPr="00754EC4">
        <w:rPr>
          <w:rFonts w:ascii="Arial" w:hAnsi="Arial" w:cs="Arial"/>
          <w:color w:val="2E74B5" w:themeColor="accent1" w:themeShade="BF"/>
          <w:lang w:val="es-MX"/>
        </w:rPr>
        <w:t xml:space="preserve"> artículo</w:t>
      </w:r>
      <w:r w:rsidR="004957F0">
        <w:rPr>
          <w:rFonts w:ascii="Arial" w:hAnsi="Arial" w:cs="Arial"/>
          <w:color w:val="2E74B5" w:themeColor="accent1" w:themeShade="BF"/>
          <w:lang w:val="es-MX"/>
        </w:rPr>
        <w:t>s</w:t>
      </w:r>
      <w:r w:rsidRPr="00754EC4">
        <w:rPr>
          <w:rFonts w:ascii="Arial" w:hAnsi="Arial" w:cs="Arial"/>
          <w:color w:val="2E74B5" w:themeColor="accent1" w:themeShade="BF"/>
          <w:lang w:val="es-MX"/>
        </w:rPr>
        <w:t xml:space="preserve"> </w:t>
      </w:r>
      <w:r w:rsidR="004957F0">
        <w:rPr>
          <w:rFonts w:ascii="Arial" w:hAnsi="Arial" w:cs="Arial"/>
          <w:color w:val="2E74B5" w:themeColor="accent1" w:themeShade="BF"/>
          <w:lang w:val="es-MX"/>
        </w:rPr>
        <w:t>7</w:t>
      </w:r>
      <w:r>
        <w:rPr>
          <w:rFonts w:ascii="Arial" w:hAnsi="Arial" w:cs="Arial"/>
          <w:color w:val="2E74B5" w:themeColor="accent1" w:themeShade="BF"/>
          <w:lang w:val="es-MX"/>
        </w:rPr>
        <w:t>, 17 y 62</w:t>
      </w:r>
      <w:r w:rsidRPr="00254E57">
        <w:rPr>
          <w:rFonts w:ascii="Arial" w:hAnsi="Arial" w:cs="Arial"/>
          <w:color w:val="2E74B5" w:themeColor="accent1" w:themeShade="BF"/>
          <w:lang w:val="es-MX"/>
        </w:rPr>
        <w:t xml:space="preserve"> de la Ley de Transparencia y Acceso a la Información Pública del Estado de San Luis Potosí, </w:t>
      </w:r>
      <w:r w:rsidR="004957F0">
        <w:rPr>
          <w:rFonts w:ascii="Arial" w:hAnsi="Arial" w:cs="Arial"/>
          <w:color w:val="2E74B5" w:themeColor="accent1" w:themeShade="BF"/>
          <w:lang w:val="es-MX"/>
        </w:rPr>
        <w:t>el H. A</w:t>
      </w:r>
      <w:r>
        <w:rPr>
          <w:rFonts w:ascii="Arial" w:hAnsi="Arial" w:cs="Arial"/>
          <w:color w:val="2E74B5" w:themeColor="accent1" w:themeShade="BF"/>
          <w:lang w:val="es-MX"/>
        </w:rPr>
        <w:t xml:space="preserve">yuntamiento de San Martín </w:t>
      </w:r>
      <w:proofErr w:type="spellStart"/>
      <w:r>
        <w:rPr>
          <w:rFonts w:ascii="Arial" w:hAnsi="Arial" w:cs="Arial"/>
          <w:color w:val="2E74B5" w:themeColor="accent1" w:themeShade="BF"/>
          <w:lang w:val="es-MX"/>
        </w:rPr>
        <w:t>Chalchicuautla</w:t>
      </w:r>
      <w:proofErr w:type="spellEnd"/>
      <w:r>
        <w:rPr>
          <w:rFonts w:ascii="Arial" w:hAnsi="Arial" w:cs="Arial"/>
          <w:color w:val="2E74B5" w:themeColor="accent1" w:themeShade="BF"/>
          <w:lang w:val="es-MX"/>
        </w:rPr>
        <w:t xml:space="preserve"> </w:t>
      </w:r>
      <w:r w:rsidR="004957F0">
        <w:rPr>
          <w:rFonts w:ascii="Arial" w:hAnsi="Arial" w:cs="Arial"/>
          <w:color w:val="2E74B5" w:themeColor="accent1" w:themeShade="BF"/>
          <w:lang w:val="es-MX"/>
        </w:rPr>
        <w:t xml:space="preserve">debe privilegiar el derecho de acceso a la información así como </w:t>
      </w:r>
      <w:r w:rsidRPr="00254E57">
        <w:rPr>
          <w:rFonts w:ascii="Arial" w:hAnsi="Arial" w:cs="Arial"/>
          <w:color w:val="2E74B5" w:themeColor="accent1" w:themeShade="BF"/>
          <w:lang w:val="es-MX"/>
        </w:rPr>
        <w:t>la aplicación e interpretación del</w:t>
      </w:r>
      <w:r w:rsidR="004957F0">
        <w:rPr>
          <w:rFonts w:ascii="Arial" w:hAnsi="Arial" w:cs="Arial"/>
          <w:color w:val="2E74B5" w:themeColor="accent1" w:themeShade="BF"/>
          <w:lang w:val="es-MX"/>
        </w:rPr>
        <w:t xml:space="preserve"> principio de máxima publicidad</w:t>
      </w:r>
      <w:r w:rsidR="004957F0">
        <w:rPr>
          <w:rFonts w:ascii="Arial" w:hAnsi="Arial" w:cs="Arial"/>
          <w:color w:val="4F81BD"/>
          <w:shd w:val="clear" w:color="auto" w:fill="FFFFFF"/>
        </w:rPr>
        <w:t xml:space="preserve"> y en consecuencia atender el principio de gratuidad </w:t>
      </w:r>
      <w:r w:rsidRPr="00254E57">
        <w:rPr>
          <w:rFonts w:ascii="Arial" w:hAnsi="Arial" w:cs="Arial"/>
          <w:color w:val="2E74B5" w:themeColor="accent1" w:themeShade="BF"/>
          <w:lang w:val="es-MX"/>
        </w:rPr>
        <w:t xml:space="preserve"> </w:t>
      </w:r>
      <w:r w:rsidR="004957F0">
        <w:rPr>
          <w:rFonts w:ascii="Arial" w:hAnsi="Arial" w:cs="Arial"/>
          <w:color w:val="4F81BD"/>
          <w:shd w:val="clear" w:color="auto" w:fill="FFFFFF"/>
        </w:rPr>
        <w:t xml:space="preserve">tal como lo refiere el numeral 165 de la ley de la materia, por tanto, este Órgano Garante estima que en atención a lo establecido en los referidos numerales </w:t>
      </w:r>
      <w:r w:rsidRPr="00254E57">
        <w:rPr>
          <w:rFonts w:ascii="Arial" w:hAnsi="Arial" w:cs="Arial"/>
          <w:color w:val="2E74B5" w:themeColor="accent1" w:themeShade="BF"/>
        </w:rPr>
        <w:t xml:space="preserve">este Órgano Garante estima que es menester realizar las </w:t>
      </w:r>
      <w:r w:rsidRPr="00254E57">
        <w:rPr>
          <w:rFonts w:ascii="Arial" w:hAnsi="Arial" w:cs="Arial"/>
          <w:color w:val="2E74B5" w:themeColor="accent1" w:themeShade="BF"/>
          <w:lang w:val="es-MX"/>
        </w:rPr>
        <w:t>consideraciones siguientes</w:t>
      </w:r>
      <w:r w:rsidRPr="00754EC4">
        <w:rPr>
          <w:rFonts w:ascii="Arial" w:hAnsi="Arial" w:cs="Arial"/>
          <w:color w:val="2E74B5" w:themeColor="accent1" w:themeShade="BF"/>
          <w:lang w:val="es-MX"/>
        </w:rPr>
        <w:t>:</w:t>
      </w: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lang w:val="es-MX"/>
        </w:rPr>
      </w:pPr>
    </w:p>
    <w:p w:rsidR="00CE7E6F" w:rsidRDefault="00CE7E6F" w:rsidP="004957F0">
      <w:pPr>
        <w:pStyle w:val="Textoindependienteprimerasangra"/>
        <w:spacing w:after="0" w:line="276" w:lineRule="auto"/>
        <w:ind w:firstLine="900"/>
        <w:jc w:val="both"/>
        <w:rPr>
          <w:rFonts w:ascii="Arial" w:hAnsi="Arial" w:cs="Arial"/>
          <w:color w:val="2E74B5" w:themeColor="accent1" w:themeShade="BF"/>
        </w:rPr>
      </w:pPr>
      <w:r w:rsidRPr="00754EC4">
        <w:rPr>
          <w:rFonts w:ascii="Arial" w:hAnsi="Arial" w:cs="Arial"/>
          <w:color w:val="2E74B5" w:themeColor="accent1" w:themeShade="BF"/>
        </w:rPr>
        <w:t>La Ley de Transparencia</w:t>
      </w:r>
      <w:r w:rsidR="004957F0">
        <w:rPr>
          <w:rFonts w:ascii="Arial" w:hAnsi="Arial" w:cs="Arial"/>
          <w:color w:val="2E74B5" w:themeColor="accent1" w:themeShade="BF"/>
        </w:rPr>
        <w:t xml:space="preserve"> </w:t>
      </w:r>
      <w:r w:rsidR="004957F0" w:rsidRPr="00254E57">
        <w:rPr>
          <w:rFonts w:ascii="Arial" w:hAnsi="Arial" w:cs="Arial"/>
          <w:color w:val="2E74B5" w:themeColor="accent1" w:themeShade="BF"/>
          <w:lang w:val="es-MX"/>
        </w:rPr>
        <w:t>y Acceso a la Información Pública del Estado</w:t>
      </w:r>
      <w:r w:rsidRPr="00754EC4">
        <w:rPr>
          <w:rFonts w:ascii="Arial" w:hAnsi="Arial" w:cs="Arial"/>
          <w:color w:val="2E74B5" w:themeColor="accent1" w:themeShade="BF"/>
        </w:rPr>
        <w:t xml:space="preserve">, prevé dentro de su cuerpo normativo la obligación de que los sujetos obligados, mediante el acuerdo o reglamento respectivo, según sea el caso, establecerán las unidades de transparencia, responsables de </w:t>
      </w:r>
      <w:r w:rsidRPr="00754EC4">
        <w:rPr>
          <w:rFonts w:ascii="Arial" w:hAnsi="Arial" w:cs="Arial"/>
          <w:b/>
          <w:color w:val="2E74B5" w:themeColor="accent1" w:themeShade="BF"/>
        </w:rPr>
        <w:t xml:space="preserve">atender y gestionar las solicitudes </w:t>
      </w:r>
      <w:r w:rsidRPr="00754EC4">
        <w:rPr>
          <w:rFonts w:ascii="Arial" w:hAnsi="Arial" w:cs="Arial"/>
          <w:b/>
          <w:color w:val="2E74B5" w:themeColor="accent1" w:themeShade="BF"/>
        </w:rPr>
        <w:lastRenderedPageBreak/>
        <w:t>de acceso a la información</w:t>
      </w:r>
      <w:r w:rsidRPr="00754EC4">
        <w:rPr>
          <w:rFonts w:ascii="Arial" w:hAnsi="Arial" w:cs="Arial"/>
          <w:color w:val="2E74B5" w:themeColor="accent1" w:themeShade="BF"/>
        </w:rPr>
        <w:t>, así como todas las solicitudes que se realicen en ejercicio de la acción de protección de datos personales.</w:t>
      </w:r>
      <w:r w:rsidRPr="00754EC4">
        <w:rPr>
          <w:rStyle w:val="Refdenotaalpie"/>
          <w:rFonts w:eastAsia="Arial Unicode MS" w:cs="Arial"/>
          <w:color w:val="2E74B5" w:themeColor="accent1" w:themeShade="BF"/>
        </w:rPr>
        <w:footnoteReference w:id="6"/>
      </w:r>
    </w:p>
    <w:p w:rsidR="004957F0" w:rsidRPr="00754EC4" w:rsidRDefault="004957F0" w:rsidP="004957F0">
      <w:pPr>
        <w:pStyle w:val="Textoindependienteprimerasangra"/>
        <w:spacing w:after="0" w:line="276" w:lineRule="auto"/>
        <w:ind w:firstLine="900"/>
        <w:jc w:val="both"/>
        <w:rPr>
          <w:rFonts w:ascii="Arial" w:hAnsi="Arial" w:cs="Arial"/>
          <w:color w:val="2E74B5" w:themeColor="accent1" w:themeShade="BF"/>
        </w:rPr>
      </w:pP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rPr>
      </w:pPr>
      <w:r w:rsidRPr="00754EC4">
        <w:rPr>
          <w:rFonts w:ascii="Arial" w:hAnsi="Arial" w:cs="Arial"/>
          <w:color w:val="2E74B5" w:themeColor="accent1" w:themeShade="BF"/>
        </w:rPr>
        <w:t xml:space="preserve">Asimismo, a la Unidad de Transparencia del Sujeto Obligado, el cuerpo de Leyes referido otorga un conjunto de facultades, competencias y funciones -en lo que aquí interesa-, se encuentran: </w:t>
      </w:r>
    </w:p>
    <w:p w:rsidR="00CE7E6F" w:rsidRPr="00754EC4" w:rsidRDefault="00CE7E6F" w:rsidP="004957F0">
      <w:pPr>
        <w:pStyle w:val="Textoindependienteprimerasangra"/>
        <w:spacing w:after="0" w:line="276" w:lineRule="auto"/>
        <w:ind w:firstLine="900"/>
        <w:jc w:val="both"/>
        <w:rPr>
          <w:rFonts w:ascii="Arial" w:hAnsi="Arial" w:cs="Arial"/>
          <w:color w:val="2E74B5" w:themeColor="accent1" w:themeShade="BF"/>
        </w:rPr>
      </w:pPr>
    </w:p>
    <w:p w:rsidR="00CE7E6F" w:rsidRPr="00754EC4" w:rsidRDefault="00CE7E6F" w:rsidP="00CE7E6F">
      <w:pPr>
        <w:pStyle w:val="Textoindependienteprimerasangra"/>
        <w:spacing w:after="0" w:line="276" w:lineRule="auto"/>
        <w:ind w:left="709" w:firstLine="902"/>
        <w:rPr>
          <w:rFonts w:ascii="Arial" w:hAnsi="Arial" w:cs="Arial"/>
          <w:b/>
          <w:i/>
          <w:color w:val="2E74B5" w:themeColor="accent1" w:themeShade="BF"/>
          <w:sz w:val="20"/>
          <w:szCs w:val="20"/>
        </w:rPr>
      </w:pPr>
      <w:r w:rsidRPr="00754EC4">
        <w:rPr>
          <w:rFonts w:ascii="Arial" w:hAnsi="Arial" w:cs="Arial"/>
          <w:b/>
          <w:i/>
          <w:color w:val="2E74B5" w:themeColor="accent1" w:themeShade="BF"/>
          <w:sz w:val="20"/>
          <w:szCs w:val="20"/>
        </w:rPr>
        <w:t xml:space="preserve">ARTÍCULO 54. Los sujetos obligados designarán al responsable de la Unidad de Transparencia que tendrá las siguientes funciones: </w:t>
      </w:r>
    </w:p>
    <w:p w:rsidR="00CE7E6F" w:rsidRPr="00754EC4" w:rsidRDefault="00CE7E6F" w:rsidP="00CE7E6F">
      <w:pPr>
        <w:pStyle w:val="Textoindependienteprimerasangra"/>
        <w:spacing w:after="0" w:line="276" w:lineRule="auto"/>
        <w:ind w:left="709" w:firstLine="902"/>
        <w:rPr>
          <w:rFonts w:ascii="Arial" w:hAnsi="Arial" w:cs="Arial"/>
          <w:b/>
          <w:i/>
          <w:color w:val="2E74B5" w:themeColor="accent1" w:themeShade="BF"/>
          <w:sz w:val="20"/>
          <w:szCs w:val="20"/>
        </w:rPr>
      </w:pP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II. Recibir y dar trámite a las solicitudes de acceso a la información;</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IV. Realizar los trámites internos necesarios para la atención de las solicitudes de acceso a la información;</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 xml:space="preserve">V. Efectuar las notificaciones a los solicitantes; </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 xml:space="preserve">VI. Sugerir al Comité de Transparencia los procedimientos internos que aseguren la mayor eficiencia en la gestión de las solicitudes de acceso a la información, conforme a la normatividad aplicable; </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r w:rsidRPr="00754EC4">
        <w:rPr>
          <w:rFonts w:ascii="Arial" w:hAnsi="Arial" w:cs="Arial"/>
          <w:i/>
          <w:color w:val="2E74B5" w:themeColor="accent1" w:themeShade="BF"/>
          <w:sz w:val="20"/>
          <w:szCs w:val="20"/>
        </w:rPr>
        <w:t xml:space="preserve">VII. Proponer personal habilitado que sea necesario para recibir y dar trámite a las solicitudes de acceso a la información; </w:t>
      </w:r>
    </w:p>
    <w:p w:rsidR="00CE7E6F" w:rsidRPr="00754EC4" w:rsidRDefault="00CE7E6F" w:rsidP="00CE7E6F">
      <w:pPr>
        <w:pStyle w:val="Textoindependienteprimerasangra"/>
        <w:spacing w:after="0" w:line="276" w:lineRule="auto"/>
        <w:ind w:left="709" w:firstLine="902"/>
        <w:rPr>
          <w:rFonts w:ascii="Arial" w:hAnsi="Arial" w:cs="Arial"/>
          <w:i/>
          <w:color w:val="2E74B5" w:themeColor="accent1" w:themeShade="BF"/>
          <w:sz w:val="20"/>
          <w:szCs w:val="20"/>
        </w:rPr>
      </w:pPr>
    </w:p>
    <w:p w:rsidR="00CE7E6F" w:rsidRPr="00754EC4" w:rsidRDefault="00CE7E6F" w:rsidP="004957F0">
      <w:pPr>
        <w:spacing w:after="0"/>
        <w:ind w:firstLine="708"/>
        <w:jc w:val="both"/>
        <w:rPr>
          <w:rFonts w:ascii="Arial" w:hAnsi="Arial" w:cs="Arial"/>
          <w:color w:val="2E74B5" w:themeColor="accent1" w:themeShade="BF"/>
          <w:sz w:val="24"/>
          <w:szCs w:val="24"/>
        </w:rPr>
      </w:pPr>
      <w:r w:rsidRPr="00754EC4">
        <w:rPr>
          <w:rFonts w:ascii="Arial" w:hAnsi="Arial" w:cs="Arial"/>
          <w:color w:val="2E74B5" w:themeColor="accent1" w:themeShade="BF"/>
          <w:sz w:val="24"/>
          <w:szCs w:val="24"/>
        </w:rPr>
        <w:t>En el caso concreto, de la normatividad transcrita, se prevé que los sujetos obligados deben efectuar las gestiones internas necesarias ante las áreas que por su configuración normativa, reglamentaria o administrativa estén en condiciones poseer la información para que éstas realicen la búsqueda correspondiente y según sea el caso, den certeza de la causa por la cual no poseen la información.</w:t>
      </w:r>
    </w:p>
    <w:p w:rsidR="00CE7E6F" w:rsidRPr="00754EC4" w:rsidRDefault="00CE7E6F" w:rsidP="004957F0">
      <w:pPr>
        <w:spacing w:after="0"/>
        <w:ind w:firstLine="708"/>
        <w:jc w:val="both"/>
        <w:rPr>
          <w:rFonts w:ascii="Arial" w:hAnsi="Arial" w:cs="Arial"/>
          <w:color w:val="2E74B5" w:themeColor="accent1" w:themeShade="BF"/>
          <w:sz w:val="24"/>
          <w:szCs w:val="24"/>
        </w:rPr>
      </w:pPr>
    </w:p>
    <w:p w:rsidR="00CE7E6F" w:rsidRPr="00754EC4" w:rsidRDefault="00CE7E6F" w:rsidP="004957F0">
      <w:pPr>
        <w:pStyle w:val="Textoindependienteprimerasangra"/>
        <w:spacing w:after="0" w:line="276" w:lineRule="auto"/>
        <w:ind w:firstLine="708"/>
        <w:jc w:val="both"/>
        <w:rPr>
          <w:rFonts w:ascii="Arial" w:hAnsi="Arial" w:cs="Arial"/>
          <w:color w:val="2E74B5" w:themeColor="accent1" w:themeShade="BF"/>
          <w:lang w:val="es-MX"/>
        </w:rPr>
      </w:pPr>
      <w:r w:rsidRPr="00754EC4">
        <w:rPr>
          <w:rFonts w:ascii="Arial" w:hAnsi="Arial" w:cs="Arial"/>
          <w:color w:val="2E74B5" w:themeColor="accent1" w:themeShade="BF"/>
        </w:rPr>
        <w:t xml:space="preserve">Por otra parte, conforme al numeral 151 en correlación con los artículos 18, 19 y 153 de la Ley de Transparencia y Acceso a la Información Pública, corresponde a los sujetos obligados adoptar las medidas necesarias para localizar la documentación solicitada por los particulares, puesto que </w:t>
      </w:r>
      <w:r w:rsidRPr="00754EC4">
        <w:rPr>
          <w:rFonts w:ascii="Arial" w:hAnsi="Arial" w:cs="Arial"/>
          <w:color w:val="2E74B5" w:themeColor="accent1" w:themeShade="BF"/>
          <w:lang w:val="es-MX"/>
        </w:rPr>
        <w:t>si la información que le fue solicitada deriva del ejercicio de sus facultades, competencias o funciones, se presume que la misma debe de existir o, en su caso, demostrar que la información no se refiere a alguna de sus facultades, competencias o funciones o bien, que en los casos en que ciertas facultades, competencias o funciones no se hayan ejercido, se debe motivar la respuesta en función de las causas que motiven la inexistencia.</w:t>
      </w:r>
    </w:p>
    <w:p w:rsidR="00CE7E6F" w:rsidRPr="00754EC4" w:rsidRDefault="00CE7E6F" w:rsidP="004957F0">
      <w:pPr>
        <w:pStyle w:val="Textoindependienteprimerasangra"/>
        <w:spacing w:after="0" w:line="276" w:lineRule="auto"/>
        <w:ind w:firstLine="708"/>
        <w:jc w:val="both"/>
        <w:rPr>
          <w:rFonts w:ascii="Arial" w:hAnsi="Arial" w:cs="Arial"/>
          <w:color w:val="2E74B5" w:themeColor="accent1" w:themeShade="BF"/>
          <w:lang w:val="es-MX"/>
        </w:rPr>
      </w:pPr>
    </w:p>
    <w:p w:rsidR="00CE7E6F" w:rsidRPr="001930A8" w:rsidRDefault="00CE7E6F" w:rsidP="004957F0">
      <w:pPr>
        <w:pStyle w:val="Textoindependienteprimerasangra"/>
        <w:spacing w:after="0" w:line="276" w:lineRule="auto"/>
        <w:ind w:firstLine="708"/>
        <w:jc w:val="both"/>
        <w:rPr>
          <w:rFonts w:ascii="Arial" w:hAnsi="Arial" w:cs="Arial"/>
          <w:color w:val="2E74B5" w:themeColor="accent1" w:themeShade="BF"/>
          <w:lang w:val="es-MX"/>
        </w:rPr>
      </w:pPr>
      <w:r w:rsidRPr="001930A8">
        <w:rPr>
          <w:rFonts w:ascii="Arial" w:hAnsi="Arial" w:cs="Arial"/>
          <w:color w:val="2E74B5" w:themeColor="accent1" w:themeShade="BF"/>
          <w:lang w:val="es-MX"/>
        </w:rPr>
        <w:t>Ahora bien, con base en lo establecido en el artículo 154 de la Ley de Transparencia y Acceso a la Información Pública Estatal, la respuesta que el sujeto obligado otorgue al particular o interesado deberá ser notificada en el menor tiempo posible, que no podrá exceder de diez días, contados a partir del día siguiente a la presentación de aquélla. Por lo que, de manera excepcional, el plazo referido con antelación podrá ampliarse hasta por diez días más, siempre y cuando existan razones fundadas y motivadas.</w:t>
      </w:r>
    </w:p>
    <w:p w:rsidR="00D614DF" w:rsidRPr="001930A8" w:rsidRDefault="00D614DF" w:rsidP="00991CC6">
      <w:pPr>
        <w:pStyle w:val="corte4fondo"/>
        <w:tabs>
          <w:tab w:val="left" w:pos="567"/>
        </w:tabs>
        <w:spacing w:line="276" w:lineRule="auto"/>
        <w:ind w:firstLine="0"/>
        <w:rPr>
          <w:rFonts w:cs="Arial"/>
          <w:color w:val="2E74B5" w:themeColor="accent1" w:themeShade="BF"/>
          <w:sz w:val="24"/>
          <w:szCs w:val="24"/>
        </w:rPr>
      </w:pPr>
    </w:p>
    <w:p w:rsidR="00CE7E6F" w:rsidRPr="001930A8" w:rsidRDefault="00CE7E6F" w:rsidP="00991CC6">
      <w:pPr>
        <w:pStyle w:val="corte4fondo"/>
        <w:tabs>
          <w:tab w:val="left" w:pos="567"/>
        </w:tabs>
        <w:spacing w:line="276" w:lineRule="auto"/>
        <w:ind w:firstLine="0"/>
        <w:rPr>
          <w:rFonts w:cs="Arial"/>
          <w:color w:val="4F81BD"/>
          <w:sz w:val="24"/>
          <w:szCs w:val="24"/>
          <w:shd w:val="clear" w:color="auto" w:fill="FFFFFF"/>
        </w:rPr>
      </w:pPr>
      <w:r w:rsidRPr="001930A8">
        <w:rPr>
          <w:rFonts w:cs="Arial"/>
          <w:color w:val="4F81BD"/>
          <w:sz w:val="24"/>
          <w:szCs w:val="24"/>
          <w:shd w:val="clear" w:color="auto" w:fill="FFFFFF"/>
        </w:rPr>
        <w:tab/>
        <w:t>En virtud de lo anterior, </w:t>
      </w:r>
      <w:r w:rsidRPr="001930A8">
        <w:rPr>
          <w:rFonts w:cs="Arial"/>
          <w:b/>
          <w:bCs/>
          <w:color w:val="4F81BD"/>
          <w:sz w:val="24"/>
          <w:szCs w:val="24"/>
          <w:shd w:val="clear" w:color="auto" w:fill="FFFFFF"/>
        </w:rPr>
        <w:t xml:space="preserve">SE EXHORTA al </w:t>
      </w:r>
      <w:r w:rsidR="001930A8" w:rsidRPr="001930A8">
        <w:rPr>
          <w:rFonts w:cs="Arial"/>
          <w:b/>
          <w:bCs/>
          <w:color w:val="4F81BD"/>
          <w:sz w:val="24"/>
          <w:szCs w:val="24"/>
          <w:shd w:val="clear" w:color="auto" w:fill="FFFFFF"/>
        </w:rPr>
        <w:t xml:space="preserve">Sujeto Obligado </w:t>
      </w:r>
      <w:r w:rsidRPr="001930A8">
        <w:rPr>
          <w:rFonts w:cs="Arial"/>
          <w:b/>
          <w:bCs/>
          <w:color w:val="4F81BD"/>
          <w:sz w:val="24"/>
          <w:szCs w:val="24"/>
          <w:shd w:val="clear" w:color="auto" w:fill="FFFFFF"/>
        </w:rPr>
        <w:t>a que, </w:t>
      </w:r>
      <w:r w:rsidRPr="001930A8">
        <w:rPr>
          <w:rFonts w:cs="Arial"/>
          <w:color w:val="4F81BD"/>
          <w:sz w:val="24"/>
          <w:szCs w:val="24"/>
          <w:shd w:val="clear" w:color="auto" w:fill="FFFFFF"/>
        </w:rPr>
        <w:t xml:space="preserve">en el futuro, </w:t>
      </w:r>
      <w:r w:rsidR="001930A8" w:rsidRPr="001930A8">
        <w:rPr>
          <w:rFonts w:cs="Arial"/>
          <w:color w:val="4F81BD"/>
          <w:sz w:val="24"/>
          <w:szCs w:val="24"/>
          <w:shd w:val="clear" w:color="auto" w:fill="FFFFFF"/>
        </w:rPr>
        <w:t xml:space="preserve">se abstenga de hacer este tipo de aseveraciones sin prueba alguna e </w:t>
      </w:r>
      <w:r w:rsidR="004957F0" w:rsidRPr="001930A8">
        <w:rPr>
          <w:rFonts w:cs="Arial"/>
          <w:color w:val="4F81BD"/>
          <w:sz w:val="24"/>
          <w:szCs w:val="24"/>
          <w:shd w:val="clear" w:color="auto" w:fill="FFFFFF"/>
        </w:rPr>
        <w:lastRenderedPageBreak/>
        <w:t xml:space="preserve">instituya procedimientos y condiciones homogéneas en el ejercicio del derecho de acceso a la información, mediante procedimientos sencillos y expeditos </w:t>
      </w:r>
      <w:r w:rsidRPr="001930A8">
        <w:rPr>
          <w:rFonts w:cs="Arial"/>
          <w:color w:val="4F81BD"/>
          <w:sz w:val="24"/>
          <w:szCs w:val="24"/>
          <w:shd w:val="clear" w:color="auto" w:fill="FFFFFF"/>
        </w:rPr>
        <w:t>para que toda persona pueda ejercer el derecho de acceso a la información. </w:t>
      </w:r>
      <w:r w:rsidRPr="001930A8">
        <w:rPr>
          <w:rFonts w:cs="Arial"/>
          <w:color w:val="4F81BD"/>
          <w:sz w:val="24"/>
          <w:szCs w:val="24"/>
          <w:bdr w:val="none" w:sz="0" w:space="0" w:color="auto" w:frame="1"/>
          <w:shd w:val="clear" w:color="auto" w:fill="FFFFFF"/>
        </w:rPr>
        <w:t> </w:t>
      </w:r>
    </w:p>
    <w:p w:rsidR="00CE7E6F" w:rsidRPr="00CE7E6F" w:rsidRDefault="00CE7E6F" w:rsidP="00991CC6">
      <w:pPr>
        <w:pStyle w:val="corte4fondo"/>
        <w:tabs>
          <w:tab w:val="left" w:pos="567"/>
        </w:tabs>
        <w:spacing w:line="276" w:lineRule="auto"/>
        <w:ind w:firstLine="0"/>
        <w:rPr>
          <w:rFonts w:cs="Arial"/>
          <w:color w:val="2E74B5" w:themeColor="accent1" w:themeShade="BF"/>
          <w:sz w:val="24"/>
          <w:szCs w:val="24"/>
        </w:rPr>
      </w:pPr>
    </w:p>
    <w:p w:rsidR="00D614DF" w:rsidRPr="00991CC6" w:rsidRDefault="00DA790D" w:rsidP="00991CC6">
      <w:pPr>
        <w:autoSpaceDE w:val="0"/>
        <w:autoSpaceDN w:val="0"/>
        <w:adjustRightInd w:val="0"/>
        <w:spacing w:after="0"/>
        <w:ind w:firstLine="708"/>
        <w:jc w:val="both"/>
        <w:rPr>
          <w:rFonts w:ascii="Arial" w:hAnsi="Arial" w:cs="Arial"/>
          <w:color w:val="2E74B5" w:themeColor="accent1" w:themeShade="BF"/>
          <w:sz w:val="24"/>
          <w:szCs w:val="24"/>
        </w:rPr>
      </w:pPr>
      <w:r>
        <w:rPr>
          <w:rFonts w:ascii="Arial" w:hAnsi="Arial" w:cs="Arial"/>
          <w:b/>
          <w:color w:val="2E74B5" w:themeColor="accent1" w:themeShade="BF"/>
          <w:sz w:val="24"/>
          <w:szCs w:val="24"/>
        </w:rPr>
        <w:t>6.5</w:t>
      </w:r>
      <w:r w:rsidR="00D614DF" w:rsidRPr="00991CC6">
        <w:rPr>
          <w:rFonts w:ascii="Arial" w:hAnsi="Arial" w:cs="Arial"/>
          <w:b/>
          <w:color w:val="2E74B5" w:themeColor="accent1" w:themeShade="BF"/>
          <w:sz w:val="24"/>
          <w:szCs w:val="24"/>
        </w:rPr>
        <w:t>. Sentido</w:t>
      </w:r>
      <w:r w:rsidR="00991CC6">
        <w:rPr>
          <w:rFonts w:ascii="Arial" w:hAnsi="Arial" w:cs="Arial"/>
          <w:b/>
          <w:color w:val="2E74B5" w:themeColor="accent1" w:themeShade="BF"/>
          <w:sz w:val="24"/>
          <w:szCs w:val="24"/>
        </w:rPr>
        <w:t xml:space="preserve"> y efectos </w:t>
      </w:r>
      <w:r w:rsidR="00D614DF" w:rsidRPr="00991CC6">
        <w:rPr>
          <w:rFonts w:ascii="Arial" w:hAnsi="Arial" w:cs="Arial"/>
          <w:b/>
          <w:color w:val="2E74B5" w:themeColor="accent1" w:themeShade="BF"/>
          <w:sz w:val="24"/>
          <w:szCs w:val="24"/>
        </w:rPr>
        <w:t>de esta resolución</w:t>
      </w:r>
      <w:r w:rsidR="00D614DF" w:rsidRPr="00991CC6">
        <w:rPr>
          <w:rFonts w:ascii="Arial" w:hAnsi="Arial" w:cs="Arial"/>
          <w:color w:val="2E74B5" w:themeColor="accent1" w:themeShade="BF"/>
          <w:sz w:val="24"/>
          <w:szCs w:val="24"/>
        </w:rPr>
        <w:t>.</w:t>
      </w:r>
    </w:p>
    <w:p w:rsidR="00480566" w:rsidRPr="00991CC6" w:rsidRDefault="00480566" w:rsidP="00991CC6">
      <w:pPr>
        <w:autoSpaceDE w:val="0"/>
        <w:autoSpaceDN w:val="0"/>
        <w:adjustRightInd w:val="0"/>
        <w:spacing w:after="0"/>
        <w:ind w:firstLine="708"/>
        <w:jc w:val="both"/>
        <w:rPr>
          <w:rFonts w:ascii="Arial" w:hAnsi="Arial" w:cs="Arial"/>
          <w:color w:val="2E74B5" w:themeColor="accent1" w:themeShade="BF"/>
          <w:sz w:val="24"/>
          <w:szCs w:val="24"/>
        </w:rPr>
      </w:pPr>
    </w:p>
    <w:p w:rsidR="00991CC6" w:rsidRDefault="00A76469" w:rsidP="00991CC6">
      <w:pPr>
        <w:spacing w:after="0"/>
        <w:ind w:firstLine="708"/>
        <w:jc w:val="both"/>
        <w:rPr>
          <w:rFonts w:ascii="Arial" w:hAnsi="Arial" w:cs="Arial"/>
          <w:color w:val="2E74B5" w:themeColor="accent1" w:themeShade="BF"/>
          <w:sz w:val="24"/>
          <w:szCs w:val="24"/>
        </w:rPr>
      </w:pPr>
      <w:r w:rsidRPr="00991CC6">
        <w:rPr>
          <w:rFonts w:ascii="Arial" w:hAnsi="Arial" w:cs="Arial"/>
          <w:color w:val="2E74B5" w:themeColor="accent1" w:themeShade="BF"/>
          <w:sz w:val="24"/>
          <w:szCs w:val="24"/>
        </w:rPr>
        <w:t xml:space="preserve">En las condiciones anotadas y, al haber resultado fundado los agravios que hizo valer el recurrente, lo procedente es que esta Comisión Estatal de Garantía de Acceso a la Información Pública de conformidad con el artículo 175, fracción III, de la Ley de Transparencia y Acceso a la Información Pública del Estado </w:t>
      </w:r>
      <w:r w:rsidR="00EE42CB" w:rsidRPr="00EE42CB">
        <w:rPr>
          <w:rFonts w:ascii="Arial" w:hAnsi="Arial" w:cs="Arial"/>
          <w:b/>
          <w:color w:val="2E74B5" w:themeColor="accent1" w:themeShade="BF"/>
          <w:sz w:val="24"/>
          <w:szCs w:val="24"/>
        </w:rPr>
        <w:t>modifica</w:t>
      </w:r>
      <w:r w:rsidRPr="00EE42CB">
        <w:rPr>
          <w:rFonts w:ascii="Arial" w:hAnsi="Arial" w:cs="Arial"/>
          <w:b/>
          <w:color w:val="2E74B5" w:themeColor="accent1" w:themeShade="BF"/>
          <w:sz w:val="24"/>
          <w:szCs w:val="24"/>
        </w:rPr>
        <w:t xml:space="preserve"> </w:t>
      </w:r>
      <w:r w:rsidR="00991CC6" w:rsidRPr="00991CC6">
        <w:rPr>
          <w:rFonts w:ascii="Arial" w:hAnsi="Arial" w:cs="Arial"/>
          <w:color w:val="2E74B5" w:themeColor="accent1" w:themeShade="BF"/>
          <w:sz w:val="24"/>
          <w:szCs w:val="24"/>
        </w:rPr>
        <w:t>la respuesta proporcionada por</w:t>
      </w:r>
      <w:r w:rsidR="00991CC6">
        <w:rPr>
          <w:rFonts w:ascii="Arial" w:hAnsi="Arial" w:cs="Arial"/>
          <w:color w:val="2E74B5" w:themeColor="accent1" w:themeShade="BF"/>
          <w:sz w:val="24"/>
          <w:szCs w:val="24"/>
        </w:rPr>
        <w:t xml:space="preserve"> </w:t>
      </w:r>
      <w:r w:rsidR="00991CC6" w:rsidRPr="00991CC6">
        <w:rPr>
          <w:rFonts w:ascii="Arial" w:hAnsi="Arial" w:cs="Arial"/>
          <w:color w:val="2E74B5" w:themeColor="accent1" w:themeShade="BF"/>
          <w:sz w:val="24"/>
          <w:szCs w:val="24"/>
        </w:rPr>
        <w:t xml:space="preserve">el sujeto obligado y, éste </w:t>
      </w:r>
      <w:r w:rsidR="00EE42CB">
        <w:rPr>
          <w:rFonts w:ascii="Arial" w:hAnsi="Arial" w:cs="Arial"/>
          <w:color w:val="2E74B5" w:themeColor="accent1" w:themeShade="BF"/>
          <w:sz w:val="24"/>
          <w:szCs w:val="24"/>
        </w:rPr>
        <w:t xml:space="preserve">conmina a que </w:t>
      </w:r>
      <w:r w:rsidR="00991CC6" w:rsidRPr="00991CC6">
        <w:rPr>
          <w:rFonts w:ascii="Arial" w:hAnsi="Arial" w:cs="Arial"/>
          <w:color w:val="2E74B5" w:themeColor="accent1" w:themeShade="BF"/>
          <w:sz w:val="24"/>
          <w:szCs w:val="24"/>
        </w:rPr>
        <w:t>emita otra en la que:</w:t>
      </w:r>
    </w:p>
    <w:p w:rsidR="00EE42CB" w:rsidRPr="00991CC6" w:rsidRDefault="00EE42CB" w:rsidP="00991CC6">
      <w:pPr>
        <w:spacing w:after="0"/>
        <w:ind w:firstLine="708"/>
        <w:jc w:val="both"/>
        <w:rPr>
          <w:rFonts w:ascii="Arial" w:hAnsi="Arial" w:cs="Arial"/>
          <w:color w:val="2E74B5" w:themeColor="accent1" w:themeShade="BF"/>
          <w:sz w:val="24"/>
          <w:szCs w:val="24"/>
        </w:rPr>
      </w:pPr>
    </w:p>
    <w:p w:rsidR="00EE42CB" w:rsidRPr="00EE42CB" w:rsidRDefault="00EE42CB" w:rsidP="00EE42CB">
      <w:pPr>
        <w:pStyle w:val="Prrafodelista"/>
        <w:numPr>
          <w:ilvl w:val="0"/>
          <w:numId w:val="10"/>
        </w:numPr>
        <w:jc w:val="both"/>
        <w:rPr>
          <w:rFonts w:ascii="Arial" w:hAnsi="Arial" w:cs="Arial"/>
          <w:color w:val="2E74B5" w:themeColor="accent1" w:themeShade="BF"/>
          <w:sz w:val="24"/>
          <w:szCs w:val="24"/>
        </w:rPr>
      </w:pPr>
      <w:r w:rsidRPr="00EE42CB">
        <w:rPr>
          <w:rFonts w:ascii="Arial" w:hAnsi="Arial" w:cs="Arial"/>
          <w:color w:val="2E74B5" w:themeColor="accent1" w:themeShade="BF"/>
          <w:sz w:val="24"/>
          <w:szCs w:val="24"/>
        </w:rPr>
        <w:t xml:space="preserve">Notifique a través de </w:t>
      </w:r>
      <w:r>
        <w:rPr>
          <w:rFonts w:ascii="Arial" w:hAnsi="Arial" w:cs="Arial"/>
          <w:color w:val="2E74B5" w:themeColor="accent1" w:themeShade="BF"/>
          <w:sz w:val="24"/>
          <w:szCs w:val="24"/>
        </w:rPr>
        <w:t>los Estrados del H. A</w:t>
      </w:r>
      <w:r w:rsidRPr="00EE42CB">
        <w:rPr>
          <w:rFonts w:ascii="Arial" w:hAnsi="Arial" w:cs="Arial"/>
          <w:color w:val="2E74B5" w:themeColor="accent1" w:themeShade="BF"/>
          <w:sz w:val="24"/>
          <w:szCs w:val="24"/>
        </w:rPr>
        <w:t xml:space="preserve">yuntamiento de San Martín </w:t>
      </w:r>
      <w:proofErr w:type="spellStart"/>
      <w:r w:rsidRPr="00EE42CB">
        <w:rPr>
          <w:rFonts w:ascii="Arial" w:hAnsi="Arial" w:cs="Arial"/>
          <w:color w:val="2E74B5" w:themeColor="accent1" w:themeShade="BF"/>
          <w:sz w:val="24"/>
          <w:szCs w:val="24"/>
        </w:rPr>
        <w:t>Chalchicuautla</w:t>
      </w:r>
      <w:proofErr w:type="spellEnd"/>
      <w:r w:rsidRPr="00EE42CB">
        <w:rPr>
          <w:rFonts w:ascii="Arial" w:hAnsi="Arial" w:cs="Arial"/>
          <w:color w:val="2E74B5" w:themeColor="accent1" w:themeShade="BF"/>
          <w:sz w:val="24"/>
          <w:szCs w:val="24"/>
        </w:rPr>
        <w:t xml:space="preserve"> copia del oficio 228/2019 y anexo signado por el Contralor Interno Municipal y anexo de cuenta.</w:t>
      </w:r>
    </w:p>
    <w:p w:rsidR="00D614DF" w:rsidRPr="00991CC6" w:rsidRDefault="00DA790D" w:rsidP="00991CC6">
      <w:pPr>
        <w:pStyle w:val="corte4fondo"/>
        <w:tabs>
          <w:tab w:val="left" w:pos="567"/>
        </w:tabs>
        <w:spacing w:line="276" w:lineRule="auto"/>
        <w:rPr>
          <w:rFonts w:cs="Arial"/>
          <w:b/>
          <w:color w:val="2E74B5" w:themeColor="accent1" w:themeShade="BF"/>
          <w:sz w:val="24"/>
          <w:szCs w:val="24"/>
        </w:rPr>
      </w:pPr>
      <w:r>
        <w:rPr>
          <w:rFonts w:cs="Arial"/>
          <w:b/>
          <w:color w:val="2E74B5" w:themeColor="accent1" w:themeShade="BF"/>
          <w:sz w:val="24"/>
          <w:szCs w:val="24"/>
        </w:rPr>
        <w:t>6.6</w:t>
      </w:r>
      <w:r w:rsidR="00D614DF" w:rsidRPr="00991CC6">
        <w:rPr>
          <w:rFonts w:cs="Arial"/>
          <w:b/>
          <w:color w:val="2E74B5" w:themeColor="accent1" w:themeShade="BF"/>
          <w:sz w:val="24"/>
          <w:szCs w:val="24"/>
        </w:rPr>
        <w:t>. Precisiones de esta resolución.</w:t>
      </w:r>
    </w:p>
    <w:p w:rsidR="00D614DF" w:rsidRPr="00991CC6" w:rsidRDefault="00D614DF" w:rsidP="00991CC6">
      <w:pPr>
        <w:pStyle w:val="corte4fondo"/>
        <w:tabs>
          <w:tab w:val="left" w:pos="567"/>
        </w:tabs>
        <w:spacing w:line="276" w:lineRule="auto"/>
        <w:ind w:firstLine="0"/>
        <w:rPr>
          <w:rFonts w:cs="Arial"/>
          <w:b/>
          <w:color w:val="2E74B5" w:themeColor="accent1" w:themeShade="BF"/>
          <w:sz w:val="24"/>
          <w:szCs w:val="24"/>
        </w:rPr>
      </w:pPr>
      <w:r w:rsidRPr="00991CC6">
        <w:rPr>
          <w:rFonts w:cs="Arial"/>
          <w:b/>
          <w:color w:val="2E74B5" w:themeColor="accent1" w:themeShade="BF"/>
          <w:sz w:val="24"/>
          <w:szCs w:val="24"/>
        </w:rPr>
        <w:tab/>
      </w:r>
    </w:p>
    <w:p w:rsidR="00D614DF" w:rsidRPr="00991CC6" w:rsidRDefault="00D614DF" w:rsidP="00991CC6">
      <w:pPr>
        <w:pStyle w:val="corte4fondo"/>
        <w:tabs>
          <w:tab w:val="left" w:pos="567"/>
        </w:tabs>
        <w:spacing w:line="276" w:lineRule="auto"/>
        <w:ind w:firstLine="0"/>
        <w:rPr>
          <w:rFonts w:cs="Arial"/>
          <w:color w:val="2E74B5" w:themeColor="accent1" w:themeShade="BF"/>
          <w:sz w:val="24"/>
          <w:szCs w:val="24"/>
        </w:rPr>
      </w:pPr>
      <w:r w:rsidRPr="00991CC6">
        <w:rPr>
          <w:rFonts w:cs="Arial"/>
          <w:b/>
          <w:color w:val="2E74B5" w:themeColor="accent1" w:themeShade="BF"/>
          <w:sz w:val="24"/>
          <w:szCs w:val="24"/>
        </w:rPr>
        <w:tab/>
      </w:r>
      <w:r w:rsidRPr="00991CC6">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D614DF" w:rsidRPr="00991CC6" w:rsidRDefault="00D614DF" w:rsidP="00991CC6">
      <w:pPr>
        <w:pStyle w:val="corte4fondo"/>
        <w:tabs>
          <w:tab w:val="left" w:pos="567"/>
        </w:tabs>
        <w:spacing w:line="276" w:lineRule="auto"/>
        <w:ind w:firstLine="0"/>
        <w:rPr>
          <w:rFonts w:cs="Arial"/>
          <w:color w:val="2E74B5" w:themeColor="accent1" w:themeShade="BF"/>
          <w:sz w:val="24"/>
          <w:szCs w:val="24"/>
        </w:rPr>
      </w:pPr>
    </w:p>
    <w:p w:rsidR="00D614DF" w:rsidRPr="00991CC6" w:rsidRDefault="00D614DF" w:rsidP="00991CC6">
      <w:pPr>
        <w:pStyle w:val="corte4fondo"/>
        <w:numPr>
          <w:ilvl w:val="0"/>
          <w:numId w:val="5"/>
        </w:numPr>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En cuanto a lo ordenado, se reitera que la información debe de entregarse en la modalidad solicitada y sin costo alguno,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 en el presente recurso de revisión.</w:t>
      </w:r>
    </w:p>
    <w:p w:rsidR="00D614DF" w:rsidRPr="00991CC6" w:rsidRDefault="00D614DF" w:rsidP="00991CC6">
      <w:pPr>
        <w:pStyle w:val="corte4fondo"/>
        <w:tabs>
          <w:tab w:val="left" w:pos="567"/>
        </w:tabs>
        <w:spacing w:line="276" w:lineRule="auto"/>
        <w:ind w:left="720" w:firstLine="0"/>
        <w:rPr>
          <w:rFonts w:cs="Arial"/>
          <w:color w:val="2E74B5" w:themeColor="accent1" w:themeShade="BF"/>
          <w:sz w:val="24"/>
          <w:szCs w:val="24"/>
        </w:rPr>
      </w:pPr>
    </w:p>
    <w:p w:rsidR="00D614DF" w:rsidRPr="00991CC6" w:rsidRDefault="00D614DF" w:rsidP="00991CC6">
      <w:pPr>
        <w:pStyle w:val="corte4fondo"/>
        <w:numPr>
          <w:ilvl w:val="0"/>
          <w:numId w:val="5"/>
        </w:numPr>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D614DF" w:rsidRPr="00991CC6" w:rsidRDefault="00D614DF" w:rsidP="00991CC6">
      <w:pPr>
        <w:pStyle w:val="corte4fondo"/>
        <w:tabs>
          <w:tab w:val="left" w:pos="567"/>
        </w:tabs>
        <w:spacing w:line="276" w:lineRule="auto"/>
        <w:ind w:left="720" w:firstLine="0"/>
        <w:rPr>
          <w:rFonts w:cs="Arial"/>
          <w:color w:val="2E74B5" w:themeColor="accent1" w:themeShade="BF"/>
          <w:sz w:val="24"/>
          <w:szCs w:val="24"/>
        </w:rPr>
      </w:pPr>
    </w:p>
    <w:p w:rsidR="00D614DF" w:rsidRPr="00991CC6" w:rsidRDefault="00DA790D" w:rsidP="00991CC6">
      <w:pPr>
        <w:spacing w:after="0"/>
        <w:ind w:left="720"/>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6.7</w:t>
      </w:r>
      <w:r w:rsidR="00D614DF" w:rsidRPr="00991CC6">
        <w:rPr>
          <w:rFonts w:ascii="Arial" w:eastAsia="Times New Roman" w:hAnsi="Arial" w:cs="Arial"/>
          <w:b/>
          <w:color w:val="2E74B5" w:themeColor="accent1" w:themeShade="BF"/>
          <w:sz w:val="24"/>
          <w:szCs w:val="24"/>
          <w:lang w:eastAsia="es-MX"/>
        </w:rPr>
        <w:t>. Plazo de diez días hábiles para el cumplimento de esta resolución.</w:t>
      </w:r>
    </w:p>
    <w:p w:rsidR="00D614DF" w:rsidRPr="00991CC6" w:rsidRDefault="00D614DF" w:rsidP="00991CC6">
      <w:pPr>
        <w:spacing w:after="0"/>
        <w:jc w:val="both"/>
        <w:rPr>
          <w:rFonts w:ascii="Arial" w:eastAsia="Times New Roman" w:hAnsi="Arial" w:cs="Arial"/>
          <w:b/>
          <w:color w:val="2E74B5" w:themeColor="accent1" w:themeShade="BF"/>
          <w:sz w:val="24"/>
          <w:szCs w:val="24"/>
          <w:lang w:eastAsia="es-MX"/>
        </w:rPr>
      </w:pPr>
    </w:p>
    <w:p w:rsidR="00D614DF" w:rsidRPr="00991CC6" w:rsidRDefault="00D614DF" w:rsidP="00991CC6">
      <w:pPr>
        <w:pStyle w:val="Prrafodelista"/>
        <w:spacing w:after="0"/>
        <w:ind w:left="0" w:firstLine="360"/>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D614DF" w:rsidRPr="00991CC6" w:rsidRDefault="00D614DF" w:rsidP="00991CC6">
      <w:pPr>
        <w:pStyle w:val="Prrafodelista"/>
        <w:spacing w:after="0"/>
        <w:jc w:val="both"/>
        <w:rPr>
          <w:rFonts w:ascii="Arial" w:eastAsia="Times New Roman" w:hAnsi="Arial" w:cs="Arial"/>
          <w:color w:val="2E74B5" w:themeColor="accent1" w:themeShade="BF"/>
          <w:sz w:val="24"/>
          <w:szCs w:val="24"/>
          <w:lang w:eastAsia="es-MX"/>
        </w:rPr>
      </w:pPr>
    </w:p>
    <w:p w:rsidR="00D614DF" w:rsidRPr="00991CC6" w:rsidRDefault="00D614DF" w:rsidP="00991CC6">
      <w:pPr>
        <w:spacing w:after="0"/>
        <w:ind w:firstLine="708"/>
        <w:jc w:val="both"/>
        <w:rPr>
          <w:rFonts w:ascii="Arial" w:eastAsia="Times New Roman" w:hAnsi="Arial" w:cs="Arial"/>
          <w:b/>
          <w:color w:val="2E74B5" w:themeColor="accent1" w:themeShade="BF"/>
          <w:sz w:val="24"/>
          <w:szCs w:val="24"/>
          <w:lang w:eastAsia="es-MX"/>
        </w:rPr>
      </w:pPr>
      <w:r w:rsidRPr="00991CC6">
        <w:rPr>
          <w:rFonts w:ascii="Arial" w:eastAsia="Times New Roman" w:hAnsi="Arial" w:cs="Arial"/>
          <w:b/>
          <w:color w:val="2E74B5" w:themeColor="accent1" w:themeShade="BF"/>
          <w:sz w:val="24"/>
          <w:szCs w:val="24"/>
          <w:lang w:eastAsia="es-MX"/>
        </w:rPr>
        <w:t>6.</w:t>
      </w:r>
      <w:r w:rsidR="00DA790D">
        <w:rPr>
          <w:rFonts w:ascii="Arial" w:eastAsia="Times New Roman" w:hAnsi="Arial" w:cs="Arial"/>
          <w:b/>
          <w:color w:val="2E74B5" w:themeColor="accent1" w:themeShade="BF"/>
          <w:sz w:val="24"/>
          <w:szCs w:val="24"/>
          <w:lang w:eastAsia="es-MX"/>
        </w:rPr>
        <w:t>8</w:t>
      </w:r>
      <w:r w:rsidRPr="00991CC6">
        <w:rPr>
          <w:rFonts w:ascii="Arial" w:eastAsia="Times New Roman" w:hAnsi="Arial" w:cs="Arial"/>
          <w:b/>
          <w:color w:val="2E74B5" w:themeColor="accent1" w:themeShade="BF"/>
          <w:sz w:val="24"/>
          <w:szCs w:val="24"/>
          <w:lang w:eastAsia="es-MX"/>
        </w:rPr>
        <w:t>. Informe sobre el cumplimento a la resolución dentro del plazo de tres días hábiles.</w:t>
      </w:r>
    </w:p>
    <w:p w:rsidR="00D614DF" w:rsidRPr="00991CC6" w:rsidRDefault="00D614DF" w:rsidP="00991CC6">
      <w:pPr>
        <w:spacing w:after="0"/>
        <w:jc w:val="both"/>
        <w:rPr>
          <w:rFonts w:ascii="Arial" w:eastAsia="Times New Roman" w:hAnsi="Arial" w:cs="Arial"/>
          <w:b/>
          <w:color w:val="2E74B5" w:themeColor="accent1" w:themeShade="BF"/>
          <w:sz w:val="24"/>
          <w:szCs w:val="24"/>
          <w:lang w:eastAsia="es-MX"/>
        </w:rPr>
      </w:pPr>
    </w:p>
    <w:p w:rsidR="00D614DF" w:rsidRPr="00991CC6" w:rsidRDefault="00D614DF" w:rsidP="00991CC6">
      <w:pPr>
        <w:pStyle w:val="Prrafodelista"/>
        <w:spacing w:after="0"/>
        <w:ind w:left="0" w:firstLine="708"/>
        <w:jc w:val="both"/>
        <w:rPr>
          <w:rFonts w:ascii="Arial" w:eastAsia="Times New Roman" w:hAnsi="Arial" w:cs="Arial"/>
          <w:color w:val="2E74B5" w:themeColor="accent1" w:themeShade="BF"/>
          <w:sz w:val="24"/>
          <w:szCs w:val="24"/>
          <w:lang w:eastAsia="es-MX"/>
        </w:rPr>
      </w:pPr>
      <w:r w:rsidRPr="00991CC6">
        <w:rPr>
          <w:rFonts w:ascii="Arial" w:eastAsia="Times New Roman" w:hAnsi="Arial" w:cs="Arial"/>
          <w:color w:val="2E74B5" w:themeColor="accent1" w:themeShade="BF"/>
          <w:sz w:val="24"/>
          <w:szCs w:val="24"/>
          <w:lang w:eastAsia="es-MX"/>
        </w:rPr>
        <w:lastRenderedPageBreak/>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D614DF" w:rsidRPr="00991CC6" w:rsidRDefault="00D614DF" w:rsidP="00991CC6">
      <w:pPr>
        <w:pStyle w:val="Prrafodelista"/>
        <w:spacing w:after="0"/>
        <w:jc w:val="both"/>
        <w:rPr>
          <w:rFonts w:ascii="Arial" w:eastAsia="Times New Roman" w:hAnsi="Arial" w:cs="Arial"/>
          <w:color w:val="2E74B5" w:themeColor="accent1" w:themeShade="BF"/>
          <w:sz w:val="24"/>
          <w:szCs w:val="24"/>
          <w:lang w:eastAsia="es-MX"/>
        </w:rPr>
      </w:pPr>
    </w:p>
    <w:p w:rsidR="00D614DF" w:rsidRPr="00991CC6" w:rsidRDefault="00DA790D" w:rsidP="00991CC6">
      <w:pPr>
        <w:spacing w:after="0"/>
        <w:ind w:firstLine="708"/>
        <w:jc w:val="both"/>
        <w:rPr>
          <w:rFonts w:ascii="Arial" w:eastAsia="Times New Roman" w:hAnsi="Arial" w:cs="Arial"/>
          <w:b/>
          <w:color w:val="2E74B5" w:themeColor="accent1" w:themeShade="BF"/>
          <w:sz w:val="24"/>
          <w:szCs w:val="24"/>
          <w:lang w:eastAsia="es-MX"/>
        </w:rPr>
      </w:pPr>
      <w:r>
        <w:rPr>
          <w:rFonts w:ascii="Arial" w:eastAsia="Times New Roman" w:hAnsi="Arial" w:cs="Arial"/>
          <w:b/>
          <w:color w:val="2E74B5" w:themeColor="accent1" w:themeShade="BF"/>
          <w:sz w:val="24"/>
          <w:szCs w:val="24"/>
          <w:lang w:eastAsia="es-MX"/>
        </w:rPr>
        <w:t xml:space="preserve"> 6.9</w:t>
      </w:r>
      <w:r w:rsidR="00D614DF" w:rsidRPr="00991CC6">
        <w:rPr>
          <w:rFonts w:ascii="Arial" w:eastAsia="Times New Roman" w:hAnsi="Arial" w:cs="Arial"/>
          <w:b/>
          <w:color w:val="2E74B5" w:themeColor="accent1" w:themeShade="BF"/>
          <w:sz w:val="24"/>
          <w:szCs w:val="24"/>
          <w:lang w:eastAsia="es-MX"/>
        </w:rPr>
        <w:t>. Medida de apremio en caso de incumplimiento a la resolución.</w:t>
      </w: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D614DF" w:rsidRPr="00991CC6" w:rsidRDefault="00D614DF" w:rsidP="00991CC6">
      <w:pPr>
        <w:pStyle w:val="corte4fondo"/>
        <w:tabs>
          <w:tab w:val="left" w:pos="567"/>
        </w:tabs>
        <w:spacing w:line="276" w:lineRule="auto"/>
        <w:ind w:left="720" w:firstLine="0"/>
        <w:rPr>
          <w:rFonts w:cs="Arial"/>
          <w:b/>
          <w:color w:val="2E74B5" w:themeColor="accent1" w:themeShade="BF"/>
          <w:sz w:val="24"/>
          <w:szCs w:val="24"/>
        </w:rPr>
      </w:pPr>
    </w:p>
    <w:p w:rsidR="00D614DF" w:rsidRPr="00991CC6" w:rsidRDefault="00D614DF" w:rsidP="00991CC6">
      <w:pPr>
        <w:pStyle w:val="corte4fondo"/>
        <w:tabs>
          <w:tab w:val="left" w:pos="567"/>
        </w:tabs>
        <w:spacing w:line="276" w:lineRule="auto"/>
        <w:jc w:val="center"/>
        <w:rPr>
          <w:rFonts w:cs="Arial"/>
          <w:color w:val="2E74B5" w:themeColor="accent1" w:themeShade="BF"/>
          <w:sz w:val="24"/>
          <w:szCs w:val="24"/>
        </w:rPr>
      </w:pPr>
      <w:r w:rsidRPr="00991CC6">
        <w:rPr>
          <w:rFonts w:cs="Arial"/>
          <w:b/>
          <w:color w:val="2E74B5" w:themeColor="accent1" w:themeShade="BF"/>
          <w:sz w:val="24"/>
          <w:szCs w:val="24"/>
        </w:rPr>
        <w:t>RESOLUTIVOS</w:t>
      </w:r>
      <w:r w:rsidRPr="00991CC6">
        <w:rPr>
          <w:rFonts w:cs="Arial"/>
          <w:color w:val="2E74B5" w:themeColor="accent1" w:themeShade="BF"/>
          <w:sz w:val="24"/>
          <w:szCs w:val="24"/>
        </w:rPr>
        <w:t xml:space="preserve"> </w:t>
      </w:r>
    </w:p>
    <w:p w:rsidR="00D614DF" w:rsidRPr="00991CC6" w:rsidRDefault="00D614DF" w:rsidP="00991CC6">
      <w:pPr>
        <w:pStyle w:val="corte4fondo"/>
        <w:tabs>
          <w:tab w:val="left" w:pos="567"/>
        </w:tabs>
        <w:spacing w:line="276" w:lineRule="auto"/>
        <w:jc w:val="center"/>
        <w:rPr>
          <w:rFonts w:cs="Arial"/>
          <w:color w:val="2E74B5" w:themeColor="accent1" w:themeShade="BF"/>
          <w:sz w:val="24"/>
          <w:szCs w:val="24"/>
        </w:rPr>
      </w:pP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r w:rsidRPr="00991CC6">
        <w:rPr>
          <w:rFonts w:cs="Arial"/>
          <w:color w:val="2E74B5" w:themeColor="accent1" w:themeShade="BF"/>
          <w:sz w:val="24"/>
          <w:szCs w:val="24"/>
        </w:rPr>
        <w:t>Por lo expuesto y fundado, SE RESUELVE:</w:t>
      </w:r>
    </w:p>
    <w:p w:rsidR="00D614DF" w:rsidRPr="00991CC6" w:rsidRDefault="00D614DF" w:rsidP="00991CC6">
      <w:pPr>
        <w:pStyle w:val="corte4fondo"/>
        <w:tabs>
          <w:tab w:val="left" w:pos="567"/>
        </w:tabs>
        <w:spacing w:line="276" w:lineRule="auto"/>
        <w:rPr>
          <w:rFonts w:cs="Arial"/>
          <w:color w:val="2E74B5" w:themeColor="accent1" w:themeShade="BF"/>
          <w:sz w:val="24"/>
          <w:szCs w:val="24"/>
        </w:rPr>
      </w:pPr>
    </w:p>
    <w:p w:rsidR="00D614DF" w:rsidRPr="00991CC6" w:rsidRDefault="00D614DF" w:rsidP="00991CC6">
      <w:pPr>
        <w:pStyle w:val="NormalWeb"/>
        <w:spacing w:before="0" w:beforeAutospacing="0" w:after="0" w:afterAutospacing="0" w:line="276" w:lineRule="auto"/>
        <w:ind w:firstLine="708"/>
        <w:jc w:val="both"/>
        <w:rPr>
          <w:rFonts w:ascii="Arial" w:hAnsi="Arial" w:cs="Arial"/>
          <w:color w:val="2E74B5" w:themeColor="accent1" w:themeShade="BF"/>
          <w:sz w:val="25"/>
          <w:szCs w:val="25"/>
          <w:lang w:val="es-MX"/>
        </w:rPr>
      </w:pPr>
      <w:r w:rsidRPr="00991CC6">
        <w:rPr>
          <w:rFonts w:ascii="Arial" w:hAnsi="Arial" w:cs="Arial"/>
          <w:b/>
          <w:color w:val="2E74B5" w:themeColor="accent1" w:themeShade="BF"/>
        </w:rPr>
        <w:t>UNICO.</w:t>
      </w:r>
      <w:r w:rsidRPr="00991CC6">
        <w:rPr>
          <w:rFonts w:ascii="Arial" w:hAnsi="Arial" w:cs="Arial"/>
          <w:color w:val="2E74B5" w:themeColor="accent1" w:themeShade="BF"/>
        </w:rPr>
        <w:t xml:space="preserve"> </w:t>
      </w:r>
      <w:r w:rsidR="00480566" w:rsidRPr="00991CC6">
        <w:rPr>
          <w:rFonts w:ascii="Arial" w:hAnsi="Arial" w:cs="Arial"/>
          <w:color w:val="4F81BD"/>
        </w:rPr>
        <w:t xml:space="preserve">Esta Comisión Estatal de Garantía y Acceso a la Información Pública </w:t>
      </w:r>
      <w:r w:rsidR="00EE42CB">
        <w:rPr>
          <w:rFonts w:ascii="Arial" w:hAnsi="Arial" w:cs="Arial"/>
          <w:b/>
          <w:color w:val="4F81BD"/>
        </w:rPr>
        <w:t>modifica</w:t>
      </w:r>
      <w:r w:rsidR="00480566" w:rsidRPr="00991CC6">
        <w:rPr>
          <w:rFonts w:ascii="Arial" w:hAnsi="Arial" w:cs="Arial"/>
          <w:color w:val="4F81BD"/>
        </w:rPr>
        <w:t xml:space="preserve"> la respuesta del ente obligado por los fundamentos y las razones desarrolladas en el considerando sexto de la presente resolución.</w:t>
      </w:r>
    </w:p>
    <w:p w:rsidR="00D614DF" w:rsidRPr="00991CC6" w:rsidRDefault="00D614DF" w:rsidP="00991CC6">
      <w:pPr>
        <w:pStyle w:val="corte4fondo"/>
        <w:spacing w:line="276" w:lineRule="auto"/>
        <w:rPr>
          <w:rFonts w:cs="Arial"/>
          <w:color w:val="2E74B5" w:themeColor="accent1" w:themeShade="BF"/>
          <w:sz w:val="24"/>
          <w:szCs w:val="24"/>
        </w:rPr>
      </w:pPr>
    </w:p>
    <w:p w:rsidR="00296982" w:rsidRPr="00991CC6" w:rsidRDefault="00296982" w:rsidP="00991CC6">
      <w:pPr>
        <w:pStyle w:val="corte4fondo"/>
        <w:tabs>
          <w:tab w:val="left" w:pos="567"/>
        </w:tabs>
        <w:spacing w:line="276" w:lineRule="auto"/>
        <w:rPr>
          <w:rFonts w:cs="Arial"/>
          <w:color w:val="2E74B5" w:themeColor="accent1" w:themeShade="BF"/>
          <w:sz w:val="24"/>
          <w:szCs w:val="24"/>
        </w:rPr>
      </w:pPr>
      <w:r w:rsidRPr="00991CC6">
        <w:rPr>
          <w:rFonts w:cs="Arial"/>
          <w:b/>
          <w:color w:val="2E74B5" w:themeColor="accent1" w:themeShade="BF"/>
          <w:sz w:val="24"/>
          <w:szCs w:val="24"/>
        </w:rPr>
        <w:t xml:space="preserve">Notifíquese; </w:t>
      </w:r>
      <w:r w:rsidRPr="00991CC6">
        <w:rPr>
          <w:rFonts w:cs="Arial"/>
          <w:color w:val="2E74B5" w:themeColor="accent1" w:themeShade="BF"/>
          <w:sz w:val="24"/>
          <w:szCs w:val="24"/>
        </w:rPr>
        <w:t>por oficio a las autoridades</w:t>
      </w:r>
      <w:r w:rsidRPr="00991CC6">
        <w:rPr>
          <w:rFonts w:cs="Arial"/>
          <w:b/>
          <w:color w:val="2E74B5" w:themeColor="accent1" w:themeShade="BF"/>
          <w:sz w:val="24"/>
          <w:szCs w:val="24"/>
        </w:rPr>
        <w:t xml:space="preserve"> </w:t>
      </w:r>
      <w:r w:rsidRPr="00991CC6">
        <w:rPr>
          <w:rFonts w:cs="Arial"/>
          <w:color w:val="2E74B5" w:themeColor="accent1" w:themeShade="BF"/>
          <w:sz w:val="24"/>
          <w:szCs w:val="24"/>
        </w:rPr>
        <w:t>y a la recurrente por el medio que designó.</w:t>
      </w:r>
    </w:p>
    <w:p w:rsidR="00296982" w:rsidRPr="00991CC6" w:rsidRDefault="00296982" w:rsidP="00991CC6">
      <w:pPr>
        <w:pStyle w:val="corte4fondo"/>
        <w:tabs>
          <w:tab w:val="left" w:pos="567"/>
        </w:tabs>
        <w:spacing w:line="276" w:lineRule="auto"/>
        <w:rPr>
          <w:rFonts w:cs="Arial"/>
          <w:color w:val="2E74B5" w:themeColor="accent1" w:themeShade="BF"/>
          <w:sz w:val="24"/>
          <w:szCs w:val="24"/>
        </w:rPr>
      </w:pPr>
    </w:p>
    <w:p w:rsidR="00296982" w:rsidRPr="00991CC6" w:rsidRDefault="00296982" w:rsidP="00991CC6">
      <w:pPr>
        <w:pStyle w:val="corte4fondo"/>
        <w:tabs>
          <w:tab w:val="left" w:pos="567"/>
        </w:tabs>
        <w:spacing w:line="276" w:lineRule="auto"/>
        <w:rPr>
          <w:rFonts w:eastAsia="Arial Unicode MS" w:cs="Arial"/>
          <w:color w:val="2E74B5" w:themeColor="accent1" w:themeShade="BF"/>
          <w:sz w:val="24"/>
          <w:szCs w:val="24"/>
        </w:rPr>
      </w:pPr>
      <w:r w:rsidRPr="00991CC6">
        <w:rPr>
          <w:rFonts w:cs="Arial"/>
          <w:color w:val="2E74B5" w:themeColor="accent1" w:themeShade="BF"/>
          <w:sz w:val="24"/>
          <w:szCs w:val="24"/>
        </w:rPr>
        <w:t xml:space="preserve">Así, por unanimidad de votos lo resolvió la Comisión Estatal de Garantía de Acceso a la Información Pública, integrada por los Comisionados Licenciados </w:t>
      </w:r>
      <w:proofErr w:type="spellStart"/>
      <w:r w:rsidRPr="00991CC6">
        <w:rPr>
          <w:rFonts w:cs="Arial"/>
          <w:color w:val="2E74B5" w:themeColor="accent1" w:themeShade="BF"/>
          <w:sz w:val="24"/>
          <w:szCs w:val="24"/>
        </w:rPr>
        <w:t>Mariajosé</w:t>
      </w:r>
      <w:proofErr w:type="spellEnd"/>
      <w:r w:rsidRPr="00991CC6">
        <w:rPr>
          <w:rFonts w:cs="Arial"/>
          <w:color w:val="2E74B5" w:themeColor="accent1" w:themeShade="BF"/>
          <w:sz w:val="24"/>
          <w:szCs w:val="24"/>
        </w:rPr>
        <w:t xml:space="preserve"> González Zarzosa, Mtro. Alejandro Lafuente Torres, Paulina Sánchez Pérez del Pozo, Presidente, siendo ponente la última de los nombrados, quienes, en unión de la Licenciada Rosa María Motilla García, Secretaria de Pleno que da fe, firman esta resolución. </w:t>
      </w:r>
      <w:r w:rsidRPr="00991CC6">
        <w:rPr>
          <w:rFonts w:eastAsia="Arial Unicode MS" w:cs="Arial"/>
          <w:color w:val="2E74B5" w:themeColor="accent1" w:themeShade="BF"/>
          <w:sz w:val="24"/>
          <w:szCs w:val="24"/>
        </w:rPr>
        <w:t xml:space="preserve">   </w:t>
      </w:r>
    </w:p>
    <w:p w:rsidR="00296982" w:rsidRPr="00991CC6" w:rsidRDefault="00296982" w:rsidP="00991CC6">
      <w:pPr>
        <w:pStyle w:val="corte4fondo"/>
        <w:tabs>
          <w:tab w:val="left" w:pos="567"/>
        </w:tabs>
        <w:spacing w:line="276" w:lineRule="auto"/>
        <w:rPr>
          <w:rFonts w:cs="Arial"/>
          <w:color w:val="2E74B5" w:themeColor="accent1" w:themeShade="BF"/>
          <w:sz w:val="24"/>
          <w:szCs w:val="24"/>
        </w:rPr>
      </w:pPr>
    </w:p>
    <w:p w:rsidR="00296982" w:rsidRPr="00991CC6" w:rsidRDefault="00296982" w:rsidP="00991CC6">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tblPr>
      <w:tblGrid>
        <w:gridCol w:w="4552"/>
        <w:gridCol w:w="154"/>
        <w:gridCol w:w="180"/>
        <w:gridCol w:w="5014"/>
      </w:tblGrid>
      <w:tr w:rsidR="00135A55" w:rsidRPr="00991CC6" w:rsidTr="008A5025">
        <w:trPr>
          <w:trHeight w:val="2654"/>
          <w:jc w:val="center"/>
        </w:trPr>
        <w:tc>
          <w:tcPr>
            <w:tcW w:w="4706" w:type="dxa"/>
            <w:gridSpan w:val="2"/>
          </w:tcPr>
          <w:p w:rsidR="00296982" w:rsidRPr="00991CC6" w:rsidRDefault="00296982" w:rsidP="00991CC6">
            <w:pPr>
              <w:spacing w:after="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COMISIONADA </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tabs>
                <w:tab w:val="left" w:pos="1358"/>
              </w:tabs>
              <w:spacing w:after="0"/>
              <w:ind w:firstLine="36"/>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MARIAJOSÉ </w:t>
            </w:r>
          </w:p>
          <w:p w:rsidR="00296982" w:rsidRPr="00991CC6" w:rsidRDefault="00296982" w:rsidP="00991CC6">
            <w:pPr>
              <w:spacing w:after="0"/>
              <w:ind w:left="360" w:firstLine="36"/>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GONZÁLEZ ZARZOSA </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w:t>
            </w:r>
          </w:p>
          <w:p w:rsidR="00296982" w:rsidRPr="00991CC6" w:rsidRDefault="00296982" w:rsidP="00991CC6">
            <w:pPr>
              <w:spacing w:after="0"/>
              <w:rPr>
                <w:rFonts w:ascii="Arial" w:eastAsia="Arial Unicode MS" w:hAnsi="Arial" w:cs="Arial"/>
                <w:b/>
                <w:color w:val="2E74B5" w:themeColor="accent1" w:themeShade="BF"/>
                <w:sz w:val="24"/>
                <w:szCs w:val="24"/>
              </w:rPr>
            </w:pPr>
          </w:p>
        </w:tc>
        <w:tc>
          <w:tcPr>
            <w:tcW w:w="5194" w:type="dxa"/>
            <w:gridSpan w:val="2"/>
          </w:tcPr>
          <w:p w:rsidR="00296982" w:rsidRPr="00991CC6" w:rsidRDefault="00296982" w:rsidP="00991CC6">
            <w:pPr>
              <w:spacing w:after="0"/>
              <w:ind w:left="360" w:firstLine="708"/>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COMISIONADO </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                     MTRO. ALEJANDRO </w:t>
            </w:r>
          </w:p>
          <w:p w:rsidR="00296982" w:rsidRPr="00991CC6" w:rsidRDefault="00296982" w:rsidP="00991CC6">
            <w:pPr>
              <w:pStyle w:val="corte4fondo"/>
              <w:tabs>
                <w:tab w:val="left" w:pos="567"/>
              </w:tabs>
              <w:spacing w:line="276" w:lineRule="auto"/>
              <w:ind w:firstLine="0"/>
              <w:rPr>
                <w:rFonts w:cs="Arial"/>
                <w:i/>
                <w:color w:val="2E74B5" w:themeColor="accent1" w:themeShade="BF"/>
                <w:sz w:val="10"/>
                <w:szCs w:val="10"/>
              </w:rPr>
            </w:pPr>
            <w:r w:rsidRPr="00991CC6">
              <w:rPr>
                <w:rFonts w:eastAsia="Arial Unicode MS" w:cs="Arial"/>
                <w:b/>
                <w:color w:val="2E74B5" w:themeColor="accent1" w:themeShade="BF"/>
                <w:sz w:val="24"/>
                <w:szCs w:val="24"/>
              </w:rPr>
              <w:t xml:space="preserve">                    LAFUENTE TORRES</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pStyle w:val="corte4fondo"/>
              <w:tabs>
                <w:tab w:val="left" w:pos="567"/>
              </w:tabs>
              <w:spacing w:line="276" w:lineRule="auto"/>
              <w:ind w:firstLine="0"/>
              <w:rPr>
                <w:rFonts w:eastAsia="Arial Unicode MS" w:cs="Arial"/>
                <w:b/>
                <w:color w:val="2E74B5" w:themeColor="accent1" w:themeShade="BF"/>
                <w:sz w:val="24"/>
                <w:szCs w:val="24"/>
              </w:rPr>
            </w:pPr>
          </w:p>
        </w:tc>
      </w:tr>
      <w:tr w:rsidR="00135A55" w:rsidRPr="00991CC6" w:rsidTr="008A5025">
        <w:trPr>
          <w:trHeight w:val="2085"/>
          <w:jc w:val="center"/>
        </w:trPr>
        <w:tc>
          <w:tcPr>
            <w:tcW w:w="4552" w:type="dxa"/>
          </w:tcPr>
          <w:p w:rsidR="00296982" w:rsidRPr="00991CC6" w:rsidRDefault="00296982" w:rsidP="00991CC6">
            <w:pPr>
              <w:spacing w:after="0"/>
              <w:ind w:left="360" w:hanging="36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lastRenderedPageBreak/>
              <w:t>COMISIONADA PRESIDENTE</w:t>
            </w:r>
          </w:p>
          <w:p w:rsidR="00296982" w:rsidRPr="00991CC6" w:rsidRDefault="00296982" w:rsidP="00991CC6">
            <w:pPr>
              <w:spacing w:after="0"/>
              <w:ind w:left="360"/>
              <w:rPr>
                <w:rFonts w:ascii="Arial" w:eastAsia="Arial Unicode MS" w:hAnsi="Arial" w:cs="Arial"/>
                <w:b/>
                <w:color w:val="2E74B5" w:themeColor="accent1" w:themeShade="BF"/>
                <w:sz w:val="24"/>
                <w:szCs w:val="24"/>
              </w:rPr>
            </w:pPr>
          </w:p>
          <w:p w:rsidR="00296982" w:rsidRPr="00991CC6" w:rsidRDefault="00296982" w:rsidP="00991CC6">
            <w:pPr>
              <w:spacing w:after="0"/>
              <w:ind w:left="360"/>
              <w:rPr>
                <w:rFonts w:ascii="Arial" w:eastAsia="Arial Unicode MS" w:hAnsi="Arial" w:cs="Arial"/>
                <w:b/>
                <w:color w:val="2E74B5" w:themeColor="accent1" w:themeShade="BF"/>
                <w:sz w:val="24"/>
                <w:szCs w:val="24"/>
              </w:rPr>
            </w:pPr>
          </w:p>
          <w:p w:rsidR="00296982" w:rsidRPr="00991CC6" w:rsidRDefault="00296982" w:rsidP="00991CC6">
            <w:pPr>
              <w:spacing w:after="0"/>
              <w:ind w:left="360"/>
              <w:rPr>
                <w:rFonts w:ascii="Arial" w:eastAsia="Arial Unicode MS" w:hAnsi="Arial" w:cs="Arial"/>
                <w:b/>
                <w:color w:val="2E74B5" w:themeColor="accent1" w:themeShade="BF"/>
                <w:sz w:val="24"/>
                <w:szCs w:val="24"/>
              </w:rPr>
            </w:pPr>
          </w:p>
          <w:p w:rsidR="00296982" w:rsidRPr="00991CC6" w:rsidRDefault="00296982" w:rsidP="00991CC6">
            <w:pPr>
              <w:spacing w:after="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LIC. PAULINA SÁNCHEZ </w:t>
            </w:r>
          </w:p>
          <w:p w:rsidR="00296982" w:rsidRPr="00991CC6" w:rsidRDefault="00296982" w:rsidP="00991CC6">
            <w:pPr>
              <w:spacing w:after="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PÉREZ DEL POZO</w:t>
            </w:r>
          </w:p>
          <w:p w:rsidR="00296982" w:rsidRPr="00991CC6" w:rsidRDefault="00296982" w:rsidP="00991CC6">
            <w:pPr>
              <w:spacing w:after="0"/>
              <w:ind w:left="360" w:firstLine="36"/>
              <w:jc w:val="center"/>
              <w:rPr>
                <w:rFonts w:ascii="Arial" w:eastAsia="Arial Unicode MS" w:hAnsi="Arial" w:cs="Arial"/>
                <w:b/>
                <w:color w:val="2E74B5" w:themeColor="accent1" w:themeShade="BF"/>
                <w:sz w:val="24"/>
                <w:szCs w:val="24"/>
              </w:rPr>
            </w:pPr>
          </w:p>
          <w:p w:rsidR="00D460F3" w:rsidRPr="00991CC6" w:rsidRDefault="00D460F3" w:rsidP="00991CC6">
            <w:pPr>
              <w:spacing w:after="0"/>
              <w:ind w:left="360" w:firstLine="36"/>
              <w:jc w:val="center"/>
              <w:rPr>
                <w:rFonts w:ascii="Arial" w:eastAsia="Arial Unicode MS" w:hAnsi="Arial" w:cs="Arial"/>
                <w:b/>
                <w:color w:val="2E74B5" w:themeColor="accent1" w:themeShade="BF"/>
                <w:sz w:val="24"/>
                <w:szCs w:val="24"/>
              </w:rPr>
            </w:pPr>
          </w:p>
          <w:p w:rsidR="00D460F3" w:rsidRPr="00991CC6" w:rsidRDefault="00D460F3" w:rsidP="00991CC6">
            <w:pPr>
              <w:spacing w:after="0"/>
              <w:ind w:left="360" w:firstLine="36"/>
              <w:jc w:val="center"/>
              <w:rPr>
                <w:rFonts w:ascii="Arial" w:eastAsia="Arial Unicode MS" w:hAnsi="Arial" w:cs="Arial"/>
                <w:b/>
                <w:color w:val="2E74B5" w:themeColor="accent1" w:themeShade="BF"/>
                <w:sz w:val="24"/>
                <w:szCs w:val="24"/>
              </w:rPr>
            </w:pPr>
          </w:p>
          <w:p w:rsidR="00D460F3" w:rsidRPr="00991CC6" w:rsidRDefault="00D460F3" w:rsidP="00991CC6">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296982" w:rsidRPr="00991CC6" w:rsidRDefault="00296982" w:rsidP="00991CC6">
            <w:pPr>
              <w:spacing w:after="0"/>
              <w:ind w:left="360" w:firstLine="708"/>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SECRETARIA DE PLENO</w:t>
            </w: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firstLine="708"/>
              <w:jc w:val="center"/>
              <w:rPr>
                <w:rFonts w:ascii="Arial" w:eastAsia="Arial Unicode MS" w:hAnsi="Arial" w:cs="Arial"/>
                <w:b/>
                <w:color w:val="2E74B5" w:themeColor="accent1" w:themeShade="BF"/>
                <w:sz w:val="24"/>
                <w:szCs w:val="24"/>
              </w:rPr>
            </w:pPr>
          </w:p>
          <w:p w:rsidR="00296982" w:rsidRPr="00991CC6" w:rsidRDefault="00296982" w:rsidP="00991CC6">
            <w:pPr>
              <w:spacing w:after="0"/>
              <w:ind w:left="360" w:hanging="360"/>
              <w:jc w:val="center"/>
              <w:rPr>
                <w:rFonts w:ascii="Arial" w:eastAsia="Arial Unicode MS" w:hAnsi="Arial" w:cs="Arial"/>
                <w:b/>
                <w:color w:val="2E74B5" w:themeColor="accent1" w:themeShade="BF"/>
                <w:sz w:val="24"/>
                <w:szCs w:val="24"/>
              </w:rPr>
            </w:pPr>
            <w:r w:rsidRPr="00991CC6">
              <w:rPr>
                <w:rFonts w:ascii="Arial" w:eastAsia="Arial Unicode MS" w:hAnsi="Arial" w:cs="Arial"/>
                <w:b/>
                <w:color w:val="2E74B5" w:themeColor="accent1" w:themeShade="BF"/>
                <w:sz w:val="24"/>
                <w:szCs w:val="24"/>
              </w:rPr>
              <w:t xml:space="preserve">LIC. ROSA MARÍA MOTILLA GARCÍA </w:t>
            </w:r>
          </w:p>
        </w:tc>
      </w:tr>
    </w:tbl>
    <w:p w:rsidR="00DA790D" w:rsidRDefault="00DA790D" w:rsidP="00991CC6">
      <w:pPr>
        <w:pStyle w:val="corte4fondo"/>
        <w:tabs>
          <w:tab w:val="left" w:pos="567"/>
        </w:tabs>
        <w:spacing w:line="276" w:lineRule="auto"/>
        <w:ind w:firstLine="0"/>
        <w:rPr>
          <w:rFonts w:cs="Arial"/>
          <w:color w:val="2E74B5" w:themeColor="accent1" w:themeShade="BF"/>
          <w:sz w:val="12"/>
          <w:szCs w:val="12"/>
        </w:rPr>
      </w:pPr>
      <w:r w:rsidRPr="00991CC6">
        <w:rPr>
          <w:rFonts w:cs="Arial"/>
          <w:color w:val="2E74B5" w:themeColor="accent1" w:themeShade="BF"/>
          <w:sz w:val="12"/>
          <w:szCs w:val="12"/>
        </w:rPr>
        <w:t xml:space="preserve">ESTAS FIRMAS PERTENECEN A LA RESOLUCIÓN DE LA REVISIÓN </w:t>
      </w:r>
      <w:r w:rsidR="00EE42CB">
        <w:rPr>
          <w:rFonts w:cs="Arial"/>
          <w:color w:val="2E74B5" w:themeColor="accent1" w:themeShade="BF"/>
          <w:sz w:val="12"/>
          <w:szCs w:val="12"/>
        </w:rPr>
        <w:t>074</w:t>
      </w:r>
      <w:r w:rsidRPr="00991CC6">
        <w:rPr>
          <w:rFonts w:cs="Arial"/>
          <w:color w:val="2E74B5" w:themeColor="accent1" w:themeShade="BF"/>
          <w:sz w:val="12"/>
          <w:szCs w:val="12"/>
        </w:rPr>
        <w:t>/201</w:t>
      </w:r>
      <w:r>
        <w:rPr>
          <w:rFonts w:cs="Arial"/>
          <w:color w:val="2E74B5" w:themeColor="accent1" w:themeShade="BF"/>
          <w:sz w:val="12"/>
          <w:szCs w:val="12"/>
        </w:rPr>
        <w:t>9</w:t>
      </w:r>
      <w:r w:rsidRPr="00991CC6">
        <w:rPr>
          <w:rFonts w:cs="Arial"/>
          <w:color w:val="2E74B5" w:themeColor="accent1" w:themeShade="BF"/>
          <w:sz w:val="12"/>
          <w:szCs w:val="12"/>
        </w:rPr>
        <w:t xml:space="preserve">-2 QUE FUE INTERPUESTO CONTRA EL AYUNTAMIENTO DE SAN </w:t>
      </w:r>
      <w:r>
        <w:rPr>
          <w:rFonts w:cs="Arial"/>
          <w:color w:val="2E74B5" w:themeColor="accent1" w:themeShade="BF"/>
          <w:sz w:val="12"/>
          <w:szCs w:val="12"/>
        </w:rPr>
        <w:t>MARTÍN CHALCHICUAUTLA, SAN LUIS POTOSÍ</w:t>
      </w:r>
      <w:r w:rsidRPr="00991CC6">
        <w:rPr>
          <w:rFonts w:cs="Arial"/>
          <w:color w:val="2E74B5" w:themeColor="accent1" w:themeShade="BF"/>
          <w:sz w:val="12"/>
          <w:szCs w:val="12"/>
        </w:rPr>
        <w:t xml:space="preserve"> Y QUE</w:t>
      </w:r>
      <w:r w:rsidR="00F1667E">
        <w:rPr>
          <w:rFonts w:cs="Arial"/>
          <w:color w:val="2E74B5" w:themeColor="accent1" w:themeShade="BF"/>
          <w:sz w:val="12"/>
          <w:szCs w:val="12"/>
        </w:rPr>
        <w:t xml:space="preserve"> FUE APROBADA EN LA SESIÓN </w:t>
      </w:r>
      <w:r w:rsidR="00EE42CB">
        <w:rPr>
          <w:rFonts w:cs="Arial"/>
          <w:color w:val="2E74B5" w:themeColor="accent1" w:themeShade="BF"/>
          <w:sz w:val="12"/>
          <w:szCs w:val="12"/>
        </w:rPr>
        <w:t>EXTRA</w:t>
      </w:r>
      <w:r w:rsidRPr="00991CC6">
        <w:rPr>
          <w:rFonts w:cs="Arial"/>
          <w:color w:val="2E74B5" w:themeColor="accent1" w:themeShade="BF"/>
          <w:sz w:val="12"/>
          <w:szCs w:val="12"/>
        </w:rPr>
        <w:t xml:space="preserve">ORDINARIA DE </w:t>
      </w:r>
      <w:r w:rsidR="00EE42CB">
        <w:rPr>
          <w:rFonts w:cs="Arial"/>
          <w:color w:val="2E74B5" w:themeColor="accent1" w:themeShade="BF"/>
          <w:sz w:val="12"/>
          <w:szCs w:val="12"/>
        </w:rPr>
        <w:t>10 DIEZ</w:t>
      </w:r>
      <w:r w:rsidR="00F1667E">
        <w:rPr>
          <w:rFonts w:cs="Arial"/>
          <w:color w:val="2E74B5" w:themeColor="accent1" w:themeShade="BF"/>
          <w:sz w:val="12"/>
          <w:szCs w:val="12"/>
        </w:rPr>
        <w:t xml:space="preserve"> DE ABRIL </w:t>
      </w:r>
      <w:r w:rsidRPr="00991CC6">
        <w:rPr>
          <w:rFonts w:cs="Arial"/>
          <w:color w:val="2E74B5" w:themeColor="accent1" w:themeShade="BF"/>
          <w:sz w:val="12"/>
          <w:szCs w:val="12"/>
        </w:rPr>
        <w:t>DE 2019 DOS MIL DIECI</w:t>
      </w:r>
      <w:bookmarkStart w:id="0" w:name="_GoBack"/>
      <w:bookmarkEnd w:id="0"/>
      <w:r w:rsidRPr="00991CC6">
        <w:rPr>
          <w:rFonts w:cs="Arial"/>
          <w:color w:val="2E74B5" w:themeColor="accent1" w:themeShade="BF"/>
          <w:sz w:val="12"/>
          <w:szCs w:val="12"/>
        </w:rPr>
        <w:t xml:space="preserve">UEVE. </w:t>
      </w:r>
    </w:p>
    <w:p w:rsidR="00DA790D" w:rsidRDefault="00DA790D" w:rsidP="00991CC6">
      <w:pPr>
        <w:pStyle w:val="corte4fondo"/>
        <w:tabs>
          <w:tab w:val="left" w:pos="567"/>
        </w:tabs>
        <w:spacing w:line="276" w:lineRule="auto"/>
        <w:ind w:firstLine="0"/>
        <w:rPr>
          <w:rFonts w:cs="Arial"/>
          <w:color w:val="2E74B5" w:themeColor="accent1" w:themeShade="BF"/>
          <w:sz w:val="12"/>
          <w:szCs w:val="12"/>
        </w:rPr>
      </w:pPr>
    </w:p>
    <w:p w:rsidR="00D460F3" w:rsidRPr="00135A55" w:rsidRDefault="00C43504" w:rsidP="00991CC6">
      <w:pPr>
        <w:pStyle w:val="corte4fondo"/>
        <w:tabs>
          <w:tab w:val="left" w:pos="567"/>
        </w:tabs>
        <w:spacing w:line="276" w:lineRule="auto"/>
        <w:ind w:firstLine="0"/>
        <w:rPr>
          <w:rFonts w:cs="Arial"/>
          <w:i/>
          <w:color w:val="2E74B5" w:themeColor="accent1" w:themeShade="BF"/>
          <w:sz w:val="10"/>
          <w:szCs w:val="10"/>
        </w:rPr>
      </w:pPr>
      <w:r w:rsidRPr="00991CC6">
        <w:rPr>
          <w:rFonts w:cs="Arial"/>
          <w:i/>
          <w:color w:val="2E74B5" w:themeColor="accent1" w:themeShade="BF"/>
          <w:sz w:val="10"/>
          <w:szCs w:val="10"/>
        </w:rPr>
        <w:t>L/MEMH</w:t>
      </w:r>
      <w:r w:rsidRPr="00135A55">
        <w:rPr>
          <w:rFonts w:cs="Arial"/>
          <w:i/>
          <w:color w:val="2E74B5" w:themeColor="accent1" w:themeShade="BF"/>
          <w:sz w:val="10"/>
          <w:szCs w:val="10"/>
        </w:rPr>
        <w:t xml:space="preserve"> </w:t>
      </w:r>
      <w:r w:rsidR="00296982" w:rsidRPr="00135A55">
        <w:rPr>
          <w:rFonts w:cs="Arial"/>
          <w:color w:val="2E74B5" w:themeColor="accent1" w:themeShade="BF"/>
          <w:sz w:val="12"/>
          <w:szCs w:val="12"/>
        </w:rPr>
        <w:t xml:space="preserve"> </w:t>
      </w:r>
    </w:p>
    <w:p w:rsidR="00995B21" w:rsidRPr="00135A55" w:rsidRDefault="00995B21" w:rsidP="00991CC6">
      <w:pPr>
        <w:spacing w:after="0"/>
        <w:rPr>
          <w:color w:val="2E74B5" w:themeColor="accent1" w:themeShade="BF"/>
        </w:rPr>
      </w:pPr>
    </w:p>
    <w:sectPr w:rsidR="00995B21" w:rsidRPr="00135A55" w:rsidSect="00003CFE">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5165" w:rsidRDefault="00685165" w:rsidP="00296982">
      <w:pPr>
        <w:spacing w:after="0" w:line="240" w:lineRule="auto"/>
      </w:pPr>
      <w:r>
        <w:separator/>
      </w:r>
    </w:p>
  </w:endnote>
  <w:endnote w:type="continuationSeparator" w:id="0">
    <w:p w:rsidR="00685165" w:rsidRDefault="00685165" w:rsidP="002969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7">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5165" w:rsidRDefault="00685165" w:rsidP="00296982">
      <w:pPr>
        <w:spacing w:after="0" w:line="240" w:lineRule="auto"/>
      </w:pPr>
      <w:r>
        <w:separator/>
      </w:r>
    </w:p>
  </w:footnote>
  <w:footnote w:type="continuationSeparator" w:id="0">
    <w:p w:rsidR="00685165" w:rsidRDefault="00685165" w:rsidP="00296982">
      <w:pPr>
        <w:spacing w:after="0" w:line="240" w:lineRule="auto"/>
      </w:pPr>
      <w:r>
        <w:continuationSeparator/>
      </w:r>
    </w:p>
  </w:footnote>
  <w:footnote w:id="1">
    <w:p w:rsidR="00296982" w:rsidRPr="00D614DF" w:rsidRDefault="00296982" w:rsidP="00296982">
      <w:pPr>
        <w:pStyle w:val="Textonotapie"/>
        <w:spacing w:after="0"/>
        <w:jc w:val="both"/>
        <w:rPr>
          <w:rFonts w:ascii="Arial" w:hAnsi="Arial" w:cs="Arial"/>
          <w:color w:val="2E74B5" w:themeColor="accent1" w:themeShade="BF"/>
          <w:sz w:val="16"/>
          <w:szCs w:val="16"/>
        </w:rPr>
      </w:pPr>
      <w:r w:rsidRPr="00D614DF">
        <w:rPr>
          <w:rStyle w:val="Refdenotaalpie"/>
          <w:rFonts w:cs="Arial"/>
          <w:color w:val="2E74B5" w:themeColor="accent1" w:themeShade="BF"/>
          <w:sz w:val="16"/>
          <w:szCs w:val="16"/>
        </w:rPr>
        <w:footnoteRef/>
      </w:r>
      <w:r w:rsidR="00D614DF" w:rsidRPr="00D614DF">
        <w:rPr>
          <w:rFonts w:ascii="Arial" w:hAnsi="Arial" w:cs="Arial"/>
          <w:color w:val="2E74B5" w:themeColor="accent1" w:themeShade="BF"/>
          <w:sz w:val="16"/>
          <w:szCs w:val="16"/>
        </w:rPr>
        <w:t xml:space="preserve"> Visible en la foja 2 </w:t>
      </w:r>
      <w:r w:rsidRPr="00D614DF">
        <w:rPr>
          <w:rFonts w:ascii="Arial" w:hAnsi="Arial" w:cs="Arial"/>
          <w:color w:val="2E74B5" w:themeColor="accent1" w:themeShade="BF"/>
          <w:sz w:val="16"/>
          <w:szCs w:val="16"/>
        </w:rPr>
        <w:t xml:space="preserve">de autos. </w:t>
      </w:r>
    </w:p>
  </w:footnote>
  <w:footnote w:id="2">
    <w:p w:rsidR="00296982" w:rsidRPr="00074E09" w:rsidRDefault="00296982" w:rsidP="00296982">
      <w:pPr>
        <w:pStyle w:val="Textonotapie"/>
        <w:spacing w:after="0"/>
        <w:rPr>
          <w:color w:val="FF0000"/>
        </w:rPr>
      </w:pPr>
      <w:r w:rsidRPr="00D614DF">
        <w:rPr>
          <w:rStyle w:val="Refdenotaalpie"/>
          <w:color w:val="2E74B5" w:themeColor="accent1" w:themeShade="BF"/>
        </w:rPr>
        <w:footnoteRef/>
      </w:r>
      <w:r w:rsidRPr="00D614DF">
        <w:rPr>
          <w:color w:val="2E74B5" w:themeColor="accent1" w:themeShade="BF"/>
        </w:rPr>
        <w:t xml:space="preserve"> </w:t>
      </w:r>
      <w:r w:rsidRPr="00D614DF">
        <w:rPr>
          <w:rFonts w:ascii="Arial" w:hAnsi="Arial" w:cs="Arial"/>
          <w:color w:val="2E74B5" w:themeColor="accent1" w:themeShade="BF"/>
          <w:sz w:val="16"/>
          <w:szCs w:val="16"/>
        </w:rPr>
        <w:t>Visible en la foja   4 de autos.</w:t>
      </w:r>
      <w:r w:rsidRPr="00A2402C">
        <w:rPr>
          <w:rFonts w:ascii="Arial" w:hAnsi="Arial" w:cs="Arial"/>
          <w:color w:val="2E74B5" w:themeColor="accent1" w:themeShade="BF"/>
          <w:sz w:val="16"/>
          <w:szCs w:val="16"/>
        </w:rPr>
        <w:t xml:space="preserve"> </w:t>
      </w:r>
    </w:p>
  </w:footnote>
  <w:footnote w:id="3">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Style w:val="Refdenotaalpie"/>
          <w:rFonts w:cs="Arial"/>
          <w:color w:val="2E74B5" w:themeColor="accent1" w:themeShade="BF"/>
          <w:sz w:val="14"/>
          <w:szCs w:val="14"/>
        </w:rPr>
        <w:footnoteRef/>
      </w:r>
      <w:r w:rsidRPr="00DA790D">
        <w:rPr>
          <w:rFonts w:cs="Arial"/>
          <w:b/>
          <w:color w:val="2E74B5" w:themeColor="accent1" w:themeShade="BF"/>
          <w:sz w:val="14"/>
          <w:szCs w:val="14"/>
        </w:rPr>
        <w:t>ARTÍCULO 19</w:t>
      </w:r>
      <w:r w:rsidRPr="00DA790D">
        <w:rPr>
          <w:rFonts w:cs="Arial"/>
          <w:color w:val="2E74B5" w:themeColor="accent1" w:themeShade="BF"/>
          <w:sz w:val="14"/>
          <w:szCs w:val="14"/>
        </w:rPr>
        <w:t>.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Fonts w:cs="Arial"/>
          <w:b/>
          <w:color w:val="2E74B5" w:themeColor="accent1" w:themeShade="BF"/>
          <w:sz w:val="14"/>
          <w:szCs w:val="14"/>
        </w:rPr>
        <w:t>ARTÍCULO 52</w:t>
      </w:r>
      <w:r w:rsidRPr="00DA790D">
        <w:rPr>
          <w:rFonts w:cs="Arial"/>
          <w:color w:val="2E74B5" w:themeColor="accent1" w:themeShade="BF"/>
          <w:sz w:val="14"/>
          <w:szCs w:val="14"/>
        </w:rPr>
        <w:t xml:space="preserve">. Cada Comité de Transparencia tendrá las siguientes funciones: </w:t>
      </w:r>
      <w:r w:rsidRPr="00DA790D">
        <w:rPr>
          <w:rFonts w:cs="Arial"/>
          <w:b/>
          <w:color w:val="2E74B5" w:themeColor="accent1" w:themeShade="BF"/>
          <w:sz w:val="14"/>
          <w:szCs w:val="14"/>
        </w:rPr>
        <w:t>I</w:t>
      </w:r>
      <w:r w:rsidRPr="00DA790D">
        <w:rPr>
          <w:rFonts w:cs="Arial"/>
          <w:color w:val="2E74B5" w:themeColor="accent1" w:themeShade="BF"/>
          <w:sz w:val="14"/>
          <w:szCs w:val="14"/>
        </w:rPr>
        <w:t xml:space="preserve">. Instituir, coordinar y supervisar, en términos de las disposiciones aplicables, las acciones y los procedimientos para asegurar la mayor eficacia en la gestión de las solicitudes en materia de acceso a la información; </w:t>
      </w:r>
      <w:r w:rsidRPr="00DA790D">
        <w:rPr>
          <w:rFonts w:cs="Arial"/>
          <w:b/>
          <w:color w:val="2E74B5" w:themeColor="accent1" w:themeShade="BF"/>
          <w:sz w:val="14"/>
          <w:szCs w:val="14"/>
        </w:rPr>
        <w:t>II</w:t>
      </w:r>
      <w:r w:rsidRPr="00DA790D">
        <w:rPr>
          <w:rFonts w:cs="Arial"/>
          <w:color w:val="2E74B5" w:themeColor="accent1" w:themeShade="BF"/>
          <w:sz w:val="14"/>
          <w:szCs w:val="14"/>
        </w:rPr>
        <w:t xml:space="preserve">. Confirmar, modificar o revocar las determinaciones que en materia de ampliación del plazo de respuesta, clasificación de la información y declaración de inexistencia o de incompetencia realicen los titulares de las áreas de los sujetos obligados; </w:t>
      </w:r>
      <w:r w:rsidRPr="00DA790D">
        <w:rPr>
          <w:rFonts w:cs="Arial"/>
          <w:b/>
          <w:color w:val="2E74B5" w:themeColor="accent1" w:themeShade="BF"/>
          <w:sz w:val="14"/>
          <w:szCs w:val="14"/>
        </w:rPr>
        <w:t>III</w:t>
      </w:r>
      <w:r w:rsidRPr="00DA790D">
        <w:rPr>
          <w:rFonts w:cs="Arial"/>
          <w:color w:val="2E74B5" w:themeColor="accent1" w:themeShade="BF"/>
          <w:sz w:val="14"/>
          <w:szCs w:val="14"/>
        </w:rPr>
        <w:t>. Ordenar, en su caso, a las áreas competentes que generen la información que derivado de sus facultades, competencias y funciones deban tener en posesión o que previa acreditación de la imposibilidad de su generación, exponga, de forma fundada y motivada, las razones por las cuales, en el caso particular, no ejercieron dichas facultades, competencias o funciones;</w:t>
      </w:r>
    </w:p>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Fonts w:cs="Arial"/>
          <w:b/>
          <w:color w:val="2E74B5" w:themeColor="accent1" w:themeShade="BF"/>
          <w:sz w:val="14"/>
          <w:szCs w:val="14"/>
        </w:rPr>
        <w:t>ARTÍCULO 160</w:t>
      </w:r>
      <w:r w:rsidRPr="00DA790D">
        <w:rPr>
          <w:rFonts w:cs="Arial"/>
          <w:color w:val="2E74B5" w:themeColor="accent1" w:themeShade="BF"/>
          <w:sz w:val="14"/>
          <w:szCs w:val="14"/>
        </w:rPr>
        <w:t xml:space="preserve">. Cuando la información no se encuentre en los archivos del sujeto obligado, el Comité de Transparencia: </w:t>
      </w:r>
      <w:r w:rsidRPr="00DA790D">
        <w:rPr>
          <w:rFonts w:cs="Arial"/>
          <w:b/>
          <w:color w:val="2E74B5" w:themeColor="accent1" w:themeShade="BF"/>
          <w:sz w:val="14"/>
          <w:szCs w:val="14"/>
        </w:rPr>
        <w:t>I</w:t>
      </w:r>
      <w:r w:rsidRPr="00DA790D">
        <w:rPr>
          <w:rFonts w:cs="Arial"/>
          <w:color w:val="2E74B5" w:themeColor="accent1" w:themeShade="BF"/>
          <w:sz w:val="14"/>
          <w:szCs w:val="14"/>
        </w:rPr>
        <w:t xml:space="preserve">. Analizará el caso y tomará las medidas necesarias para localizar la información; </w:t>
      </w:r>
      <w:r w:rsidRPr="00DA790D">
        <w:rPr>
          <w:rFonts w:cs="Arial"/>
          <w:b/>
          <w:color w:val="2E74B5" w:themeColor="accent1" w:themeShade="BF"/>
          <w:sz w:val="14"/>
          <w:szCs w:val="14"/>
        </w:rPr>
        <w:t>II</w:t>
      </w:r>
      <w:r w:rsidRPr="00DA790D">
        <w:rPr>
          <w:rFonts w:cs="Arial"/>
          <w:color w:val="2E74B5" w:themeColor="accent1" w:themeShade="BF"/>
          <w:sz w:val="14"/>
          <w:szCs w:val="14"/>
        </w:rPr>
        <w:t xml:space="preserve">. Expedirá una resolución que confirme la inexistencia del Documento; </w:t>
      </w:r>
      <w:r w:rsidRPr="00DA790D">
        <w:rPr>
          <w:rFonts w:cs="Arial"/>
          <w:b/>
          <w:color w:val="2E74B5" w:themeColor="accent1" w:themeShade="BF"/>
          <w:sz w:val="14"/>
          <w:szCs w:val="14"/>
        </w:rPr>
        <w:t>III</w:t>
      </w:r>
      <w:r w:rsidRPr="00DA790D">
        <w:rPr>
          <w:rFonts w:cs="Arial"/>
          <w:color w:val="2E74B5" w:themeColor="accent1" w:themeShade="BF"/>
          <w:sz w:val="14"/>
          <w:szCs w:val="14"/>
        </w:rPr>
        <w:t>.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rsidR="00CE13A5" w:rsidRPr="00DA790D" w:rsidRDefault="00CE13A5" w:rsidP="00DA790D">
      <w:pPr>
        <w:pStyle w:val="corte4fondo"/>
        <w:spacing w:line="276" w:lineRule="auto"/>
        <w:ind w:firstLine="0"/>
        <w:rPr>
          <w:rFonts w:cs="Arial"/>
          <w:color w:val="2E74B5" w:themeColor="accent1" w:themeShade="BF"/>
          <w:sz w:val="14"/>
          <w:szCs w:val="14"/>
        </w:rPr>
      </w:pPr>
      <w:r w:rsidRPr="00DA790D">
        <w:rPr>
          <w:rFonts w:cs="Arial"/>
          <w:b/>
          <w:color w:val="2E74B5" w:themeColor="accent1" w:themeShade="BF"/>
          <w:sz w:val="14"/>
          <w:szCs w:val="14"/>
        </w:rPr>
        <w:t>ARTÍCULO 161</w:t>
      </w:r>
      <w:r w:rsidRPr="00DA790D">
        <w:rPr>
          <w:rFonts w:cs="Arial"/>
          <w:color w:val="2E74B5" w:themeColor="accent1" w:themeShade="BF"/>
          <w:sz w:val="14"/>
          <w:szCs w:val="14"/>
        </w:rPr>
        <w:t>.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footnote>
  <w:footnote w:id="4">
    <w:p w:rsidR="00D614DF" w:rsidRPr="00ED1D22" w:rsidRDefault="00D614DF" w:rsidP="00D614DF">
      <w:pPr>
        <w:pStyle w:val="Textonotapie"/>
        <w:jc w:val="both"/>
        <w:rPr>
          <w:rFonts w:ascii="Arial" w:hAnsi="Arial" w:cs="Arial"/>
          <w:color w:val="2E74B5" w:themeColor="accent1" w:themeShade="BF"/>
          <w:sz w:val="14"/>
          <w:szCs w:val="14"/>
        </w:rPr>
      </w:pPr>
      <w:r w:rsidRPr="00ED1D22">
        <w:rPr>
          <w:rStyle w:val="Refdenotaalpie"/>
          <w:rFonts w:cs="Arial"/>
          <w:color w:val="2E74B5" w:themeColor="accent1" w:themeShade="BF"/>
          <w:sz w:val="14"/>
          <w:szCs w:val="14"/>
        </w:rPr>
        <w:footnoteRef/>
      </w:r>
      <w:r w:rsidRPr="00ED1D22">
        <w:rPr>
          <w:rFonts w:ascii="Arial" w:hAnsi="Arial" w:cs="Arial"/>
          <w:color w:val="2E74B5" w:themeColor="accent1" w:themeShade="BF"/>
          <w:sz w:val="14"/>
          <w:szCs w:val="14"/>
        </w:rPr>
        <w:t xml:space="preserve"> </w:t>
      </w:r>
      <w:r w:rsidRPr="00ED1D22">
        <w:rPr>
          <w:rFonts w:ascii="Arial" w:hAnsi="Arial" w:cs="Arial"/>
          <w:b/>
          <w:bCs/>
          <w:color w:val="2E74B5" w:themeColor="accent1" w:themeShade="BF"/>
          <w:sz w:val="14"/>
          <w:szCs w:val="14"/>
        </w:rPr>
        <w:t xml:space="preserve">ARTICULO 7. </w:t>
      </w:r>
      <w:r w:rsidRPr="00ED1D22">
        <w:rPr>
          <w:rFonts w:ascii="Arial" w:hAnsi="Arial" w:cs="Arial"/>
          <w:color w:val="2E74B5" w:themeColor="accent1" w:themeShade="BF"/>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
    <w:p w:rsidR="00D614DF" w:rsidRPr="00ED1D22" w:rsidRDefault="00D614DF" w:rsidP="00D614DF">
      <w:pPr>
        <w:pStyle w:val="corte4fondo"/>
        <w:tabs>
          <w:tab w:val="left" w:pos="567"/>
        </w:tabs>
        <w:spacing w:line="276" w:lineRule="auto"/>
        <w:ind w:firstLine="0"/>
        <w:rPr>
          <w:rFonts w:cs="Arial"/>
          <w:color w:val="2E74B5" w:themeColor="accent1" w:themeShade="BF"/>
          <w:sz w:val="14"/>
          <w:szCs w:val="14"/>
        </w:rPr>
      </w:pPr>
      <w:r w:rsidRPr="00ED1D22">
        <w:rPr>
          <w:rStyle w:val="Refdenotaalpie"/>
          <w:rFonts w:eastAsia="Calibri"/>
          <w:color w:val="2E74B5" w:themeColor="accent1" w:themeShade="BF"/>
          <w:sz w:val="14"/>
          <w:szCs w:val="14"/>
        </w:rPr>
        <w:footnoteRef/>
      </w:r>
      <w:r w:rsidRPr="00ED1D22">
        <w:rPr>
          <w:color w:val="2E74B5" w:themeColor="accent1" w:themeShade="BF"/>
          <w:sz w:val="14"/>
          <w:szCs w:val="14"/>
        </w:rPr>
        <w:t xml:space="preserve"> </w:t>
      </w:r>
      <w:r w:rsidRPr="00ED1D22">
        <w:rPr>
          <w:rFonts w:cs="Arial"/>
          <w:color w:val="2E74B5" w:themeColor="accent1" w:themeShade="BF"/>
          <w:sz w:val="14"/>
          <w:szCs w:val="14"/>
        </w:rPr>
        <w:t>ARTÍCULO 165.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D614DF" w:rsidRPr="00ED1D22" w:rsidRDefault="00D614DF" w:rsidP="00D614DF">
      <w:pPr>
        <w:pStyle w:val="corte4fondo"/>
        <w:tabs>
          <w:tab w:val="left" w:pos="567"/>
        </w:tabs>
        <w:spacing w:line="276" w:lineRule="auto"/>
        <w:ind w:firstLine="0"/>
        <w:rPr>
          <w:rFonts w:cs="Arial"/>
          <w:color w:val="2E74B5" w:themeColor="accent1" w:themeShade="BF"/>
          <w:sz w:val="16"/>
          <w:szCs w:val="16"/>
        </w:rPr>
      </w:pPr>
      <w:r w:rsidRPr="00ED1D22">
        <w:rPr>
          <w:rFonts w:cs="Arial"/>
          <w:color w:val="2E74B5" w:themeColor="accent1" w:themeShade="BF"/>
          <w:sz w:val="14"/>
          <w:szCs w:val="14"/>
        </w:rPr>
        <w:t>Ante la falta de respuesta a una solicitud en el plazo previsto y en caso de que proceda el acceso, los costos de reproducción y envío correrán a cargo del sujeto obligado.</w:t>
      </w:r>
    </w:p>
  </w:footnote>
  <w:footnote w:id="6">
    <w:p w:rsidR="00CE7E6F" w:rsidRPr="00003CFE" w:rsidRDefault="00CE7E6F" w:rsidP="00CE7E6F">
      <w:pPr>
        <w:pStyle w:val="Textonotapie"/>
        <w:rPr>
          <w:rFonts w:ascii="7" w:hAnsi="7" w:cs="Arial"/>
          <w:i/>
          <w:color w:val="2E74B5" w:themeColor="accent1" w:themeShade="BF"/>
        </w:rPr>
      </w:pPr>
      <w:r w:rsidRPr="00003CFE">
        <w:rPr>
          <w:rStyle w:val="Refdenotaalpie"/>
          <w:rFonts w:ascii="7" w:eastAsia="Arial Unicode MS" w:hAnsi="7"/>
          <w:color w:val="2E74B5" w:themeColor="accent1" w:themeShade="BF"/>
        </w:rPr>
        <w:footnoteRef/>
      </w:r>
      <w:r w:rsidRPr="00003CFE">
        <w:rPr>
          <w:rFonts w:ascii="7" w:hAnsi="7"/>
          <w:color w:val="2E74B5" w:themeColor="accent1" w:themeShade="BF"/>
        </w:rPr>
        <w:t xml:space="preserve"> </w:t>
      </w:r>
      <w:r w:rsidRPr="00003CFE">
        <w:rPr>
          <w:rFonts w:ascii="7" w:hAnsi="7" w:cs="Arial"/>
          <w:i/>
          <w:color w:val="2E74B5" w:themeColor="accent1" w:themeShade="BF"/>
        </w:rPr>
        <w:t xml:space="preserve">Cfr. Artículo 53 de la Ley de Transparencia y Acceso a la Información Pública.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4145" w:rsidRPr="006C3A69" w:rsidRDefault="001A2721" w:rsidP="00DC2628">
    <w:pPr>
      <w:pStyle w:val="Encabezado"/>
      <w:tabs>
        <w:tab w:val="left" w:pos="3969"/>
      </w:tabs>
      <w:jc w:val="right"/>
      <w:rPr>
        <w:rFonts w:ascii="Arial" w:hAnsi="Arial" w:cs="Arial"/>
        <w:color w:val="2E74B5" w:themeColor="accent1" w:themeShade="BF"/>
        <w:sz w:val="16"/>
        <w:szCs w:val="16"/>
      </w:rPr>
    </w:pPr>
    <w:r w:rsidRPr="00F23CCE">
      <w:rPr>
        <w:rFonts w:ascii="Arial" w:hAnsi="Arial" w:cs="Arial"/>
      </w:rPr>
      <w:t xml:space="preserve">                        </w:t>
    </w:r>
    <w:r>
      <w:rPr>
        <w:rFonts w:ascii="Arial" w:hAnsi="Arial" w:cs="Arial"/>
      </w:rPr>
      <w:t xml:space="preserve">                            </w:t>
    </w:r>
    <w:r w:rsidR="00BF2B73" w:rsidRPr="00F23CCE">
      <w:rPr>
        <w:rFonts w:ascii="Arial" w:hAnsi="Arial" w:cs="Arial"/>
      </w:rPr>
      <w:fldChar w:fldCharType="begin"/>
    </w:r>
    <w:r w:rsidRPr="00F23CCE">
      <w:rPr>
        <w:rFonts w:ascii="Arial" w:hAnsi="Arial" w:cs="Arial"/>
      </w:rPr>
      <w:instrText xml:space="preserve"> PAGE   \* MERGEFORMAT </w:instrText>
    </w:r>
    <w:r w:rsidR="00BF2B73" w:rsidRPr="00F23CCE">
      <w:rPr>
        <w:rFonts w:ascii="Arial" w:hAnsi="Arial" w:cs="Arial"/>
      </w:rPr>
      <w:fldChar w:fldCharType="separate"/>
    </w:r>
    <w:r w:rsidR="00E80C19">
      <w:rPr>
        <w:rFonts w:ascii="Arial" w:hAnsi="Arial" w:cs="Arial"/>
        <w:noProof/>
      </w:rPr>
      <w:t>13</w:t>
    </w:r>
    <w:r w:rsidR="00BF2B73"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6C3A69">
      <w:rPr>
        <w:rFonts w:ascii="Arial" w:hAnsi="Arial" w:cs="Arial"/>
        <w:color w:val="2E74B5" w:themeColor="accent1" w:themeShade="BF"/>
        <w:sz w:val="16"/>
        <w:szCs w:val="16"/>
      </w:rPr>
      <w:t xml:space="preserve">RECURSO DE REVISIÓN </w:t>
    </w:r>
  </w:p>
  <w:p w:rsidR="00C64145" w:rsidRPr="006C3A69" w:rsidRDefault="001A2721" w:rsidP="00DC2628">
    <w:pPr>
      <w:pStyle w:val="Encabezado"/>
      <w:tabs>
        <w:tab w:val="left" w:pos="3969"/>
      </w:tabs>
      <w:jc w:val="right"/>
      <w:rPr>
        <w:rFonts w:ascii="Arial" w:hAnsi="Arial" w:cs="Arial"/>
        <w:color w:val="2E74B5" w:themeColor="accent1" w:themeShade="BF"/>
      </w:rPr>
    </w:pPr>
    <w:r w:rsidRPr="006C3A69">
      <w:rPr>
        <w:rFonts w:ascii="Arial" w:hAnsi="Arial" w:cs="Arial"/>
        <w:color w:val="2E74B5" w:themeColor="accent1" w:themeShade="BF"/>
        <w:sz w:val="16"/>
        <w:szCs w:val="16"/>
      </w:rPr>
      <w:t xml:space="preserve">                                                                                                                                                                          </w:t>
    </w:r>
    <w:r w:rsidR="00480566">
      <w:rPr>
        <w:rFonts w:ascii="Arial" w:hAnsi="Arial" w:cs="Arial"/>
        <w:color w:val="2E74B5" w:themeColor="accent1" w:themeShade="BF"/>
        <w:sz w:val="16"/>
        <w:szCs w:val="16"/>
      </w:rPr>
      <w:t>0</w:t>
    </w:r>
    <w:r w:rsidR="00E80C19">
      <w:rPr>
        <w:rFonts w:ascii="Arial" w:hAnsi="Arial" w:cs="Arial"/>
        <w:color w:val="2E74B5" w:themeColor="accent1" w:themeShade="BF"/>
        <w:sz w:val="16"/>
        <w:szCs w:val="16"/>
      </w:rPr>
      <w:t>74</w:t>
    </w:r>
    <w:r w:rsidRPr="006C3A69">
      <w:rPr>
        <w:rFonts w:ascii="Arial" w:hAnsi="Arial" w:cs="Arial"/>
        <w:color w:val="2E74B5" w:themeColor="accent1" w:themeShade="BF"/>
        <w:sz w:val="16"/>
        <w:szCs w:val="16"/>
      </w:rPr>
      <w:t>/201</w:t>
    </w:r>
    <w:r w:rsidR="00EE37AF">
      <w:rPr>
        <w:rFonts w:ascii="Arial" w:hAnsi="Arial" w:cs="Arial"/>
        <w:color w:val="2E74B5" w:themeColor="accent1" w:themeShade="BF"/>
        <w:sz w:val="16"/>
        <w:szCs w:val="16"/>
      </w:rPr>
      <w:t>9</w:t>
    </w:r>
    <w:r w:rsidRPr="006C3A69">
      <w:rPr>
        <w:rFonts w:ascii="Arial" w:hAnsi="Arial" w:cs="Arial"/>
        <w:color w:val="2E74B5" w:themeColor="accent1" w:themeShade="BF"/>
        <w:sz w:val="16"/>
        <w:szCs w:val="16"/>
      </w:rPr>
      <w:t xml:space="preserve">-2 </w:t>
    </w:r>
  </w:p>
  <w:p w:rsidR="00C64145" w:rsidRDefault="00E80C19">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BE51292"/>
    <w:multiLevelType w:val="hybridMultilevel"/>
    <w:tmpl w:val="4D60C7B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FB714C5"/>
    <w:multiLevelType w:val="hybridMultilevel"/>
    <w:tmpl w:val="12D28A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144E1A4A"/>
    <w:multiLevelType w:val="hybridMultilevel"/>
    <w:tmpl w:val="C12AFD6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297F274C"/>
    <w:multiLevelType w:val="hybridMultilevel"/>
    <w:tmpl w:val="95986E8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nsid w:val="67D21EEE"/>
    <w:multiLevelType w:val="hybridMultilevel"/>
    <w:tmpl w:val="B0CC0DB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6"/>
  </w:num>
  <w:num w:numId="3">
    <w:abstractNumId w:val="9"/>
  </w:num>
  <w:num w:numId="4">
    <w:abstractNumId w:val="0"/>
  </w:num>
  <w:num w:numId="5">
    <w:abstractNumId w:val="2"/>
  </w:num>
  <w:num w:numId="6">
    <w:abstractNumId w:val="3"/>
  </w:num>
  <w:num w:numId="7">
    <w:abstractNumId w:val="4"/>
  </w:num>
  <w:num w:numId="8">
    <w:abstractNumId w:val="1"/>
  </w:num>
  <w:num w:numId="9">
    <w:abstractNumId w:val="5"/>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proofState w:spelling="clean" w:grammar="clean"/>
  <w:defaultTabStop w:val="708"/>
  <w:hyphenationZone w:val="425"/>
  <w:characterSpacingControl w:val="doNotCompress"/>
  <w:footnotePr>
    <w:footnote w:id="-1"/>
    <w:footnote w:id="0"/>
  </w:footnotePr>
  <w:endnotePr>
    <w:endnote w:id="-1"/>
    <w:endnote w:id="0"/>
  </w:endnotePr>
  <w:compat/>
  <w:rsids>
    <w:rsidRoot w:val="00296982"/>
    <w:rsid w:val="00003CFE"/>
    <w:rsid w:val="00014130"/>
    <w:rsid w:val="0001469D"/>
    <w:rsid w:val="00014D43"/>
    <w:rsid w:val="000962CA"/>
    <w:rsid w:val="000E13A6"/>
    <w:rsid w:val="000F1A0F"/>
    <w:rsid w:val="00101D0B"/>
    <w:rsid w:val="00114A5E"/>
    <w:rsid w:val="00135A55"/>
    <w:rsid w:val="00162474"/>
    <w:rsid w:val="001930A8"/>
    <w:rsid w:val="001A2721"/>
    <w:rsid w:val="001B26AF"/>
    <w:rsid w:val="001F0CAB"/>
    <w:rsid w:val="001F6F65"/>
    <w:rsid w:val="00210F79"/>
    <w:rsid w:val="002642EC"/>
    <w:rsid w:val="0028098F"/>
    <w:rsid w:val="00296982"/>
    <w:rsid w:val="002A3C08"/>
    <w:rsid w:val="00323DB5"/>
    <w:rsid w:val="00334BB5"/>
    <w:rsid w:val="003446A4"/>
    <w:rsid w:val="00345F84"/>
    <w:rsid w:val="003945A7"/>
    <w:rsid w:val="003A1FE8"/>
    <w:rsid w:val="00465EC0"/>
    <w:rsid w:val="00480566"/>
    <w:rsid w:val="00483D78"/>
    <w:rsid w:val="004907EB"/>
    <w:rsid w:val="004957F0"/>
    <w:rsid w:val="004C6602"/>
    <w:rsid w:val="0052476B"/>
    <w:rsid w:val="00535608"/>
    <w:rsid w:val="006168BB"/>
    <w:rsid w:val="0062240D"/>
    <w:rsid w:val="00622626"/>
    <w:rsid w:val="00627088"/>
    <w:rsid w:val="00661569"/>
    <w:rsid w:val="00685165"/>
    <w:rsid w:val="006904B6"/>
    <w:rsid w:val="006E10BB"/>
    <w:rsid w:val="00733C19"/>
    <w:rsid w:val="007B72D5"/>
    <w:rsid w:val="00816072"/>
    <w:rsid w:val="0086157B"/>
    <w:rsid w:val="00874997"/>
    <w:rsid w:val="0088631E"/>
    <w:rsid w:val="008F21A1"/>
    <w:rsid w:val="009421F0"/>
    <w:rsid w:val="009421F9"/>
    <w:rsid w:val="009544B7"/>
    <w:rsid w:val="00973DA6"/>
    <w:rsid w:val="00991CC6"/>
    <w:rsid w:val="00995B21"/>
    <w:rsid w:val="00995B7A"/>
    <w:rsid w:val="009D3C79"/>
    <w:rsid w:val="00A04BD5"/>
    <w:rsid w:val="00A2007F"/>
    <w:rsid w:val="00A22510"/>
    <w:rsid w:val="00A263FF"/>
    <w:rsid w:val="00A76469"/>
    <w:rsid w:val="00A937A7"/>
    <w:rsid w:val="00A95516"/>
    <w:rsid w:val="00AE1825"/>
    <w:rsid w:val="00B40B79"/>
    <w:rsid w:val="00B5131F"/>
    <w:rsid w:val="00B718F8"/>
    <w:rsid w:val="00BB3AD6"/>
    <w:rsid w:val="00BF2B73"/>
    <w:rsid w:val="00C02E22"/>
    <w:rsid w:val="00C17C8E"/>
    <w:rsid w:val="00C43504"/>
    <w:rsid w:val="00C70A86"/>
    <w:rsid w:val="00C877B1"/>
    <w:rsid w:val="00CE13A5"/>
    <w:rsid w:val="00CE532B"/>
    <w:rsid w:val="00CE732E"/>
    <w:rsid w:val="00CE7E6F"/>
    <w:rsid w:val="00D010E4"/>
    <w:rsid w:val="00D109C0"/>
    <w:rsid w:val="00D24C55"/>
    <w:rsid w:val="00D460F3"/>
    <w:rsid w:val="00D521BF"/>
    <w:rsid w:val="00D535F5"/>
    <w:rsid w:val="00D614DF"/>
    <w:rsid w:val="00D70EFC"/>
    <w:rsid w:val="00D74DE9"/>
    <w:rsid w:val="00DA790D"/>
    <w:rsid w:val="00DB4531"/>
    <w:rsid w:val="00DC3D6A"/>
    <w:rsid w:val="00DC7CB3"/>
    <w:rsid w:val="00DD5ACF"/>
    <w:rsid w:val="00E14869"/>
    <w:rsid w:val="00E45456"/>
    <w:rsid w:val="00E54D33"/>
    <w:rsid w:val="00E80C19"/>
    <w:rsid w:val="00E84268"/>
    <w:rsid w:val="00EA3083"/>
    <w:rsid w:val="00EE37AF"/>
    <w:rsid w:val="00EE42CB"/>
    <w:rsid w:val="00EF52A3"/>
    <w:rsid w:val="00F1667E"/>
    <w:rsid w:val="00F60D37"/>
    <w:rsid w:val="00FA0ABD"/>
    <w:rsid w:val="00FB152E"/>
    <w:rsid w:val="00FC1458"/>
    <w:rsid w:val="00FF3AF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982"/>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296982"/>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296982"/>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296982"/>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296982"/>
    <w:rPr>
      <w:rFonts w:ascii="Arial" w:eastAsia="Times New Roman" w:hAnsi="Arial" w:cs="Times New Roman"/>
      <w:b/>
      <w:caps/>
      <w:sz w:val="30"/>
      <w:szCs w:val="20"/>
      <w:lang w:eastAsia="es-MX"/>
    </w:rPr>
  </w:style>
  <w:style w:type="character" w:customStyle="1" w:styleId="corte4fondoCar1">
    <w:name w:val="corte4 fondo Car1"/>
    <w:link w:val="corte4fondo"/>
    <w:rsid w:val="00296982"/>
    <w:rPr>
      <w:rFonts w:ascii="Arial" w:eastAsia="Times New Roman" w:hAnsi="Arial" w:cs="Times New Roman"/>
      <w:sz w:val="30"/>
      <w:szCs w:val="20"/>
      <w:lang w:eastAsia="es-MX"/>
    </w:rPr>
  </w:style>
  <w:style w:type="character" w:customStyle="1" w:styleId="corte1datosCar">
    <w:name w:val="corte1 datos Car"/>
    <w:link w:val="corte1datos"/>
    <w:rsid w:val="00296982"/>
    <w:rPr>
      <w:rFonts w:ascii="Arial" w:eastAsia="Times New Roman" w:hAnsi="Arial" w:cs="Times New Roman"/>
      <w:b/>
      <w:caps/>
      <w:sz w:val="30"/>
      <w:szCs w:val="20"/>
      <w:lang w:eastAsia="es-MX"/>
    </w:rPr>
  </w:style>
  <w:style w:type="paragraph" w:styleId="Encabezado">
    <w:name w:val="header"/>
    <w:basedOn w:val="Normal"/>
    <w:link w:val="EncabezadoCar"/>
    <w:unhideWhenUsed/>
    <w:rsid w:val="00296982"/>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rsid w:val="00296982"/>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296982"/>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296982"/>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296982"/>
    <w:rPr>
      <w:rFonts w:ascii="Calibri" w:eastAsia="Calibri" w:hAnsi="Calibri" w:cs="Times New Roman"/>
      <w:sz w:val="20"/>
      <w:szCs w:val="20"/>
    </w:rPr>
  </w:style>
  <w:style w:type="paragraph" w:styleId="NormalWeb">
    <w:name w:val="Normal (Web)"/>
    <w:basedOn w:val="Normal"/>
    <w:uiPriority w:val="99"/>
    <w:rsid w:val="00296982"/>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296982"/>
    <w:pPr>
      <w:ind w:left="720"/>
      <w:contextualSpacing/>
    </w:pPr>
  </w:style>
  <w:style w:type="paragraph" w:styleId="Ttulo">
    <w:name w:val="Title"/>
    <w:basedOn w:val="Normal"/>
    <w:next w:val="Normal"/>
    <w:link w:val="TtuloCar"/>
    <w:uiPriority w:val="10"/>
    <w:qFormat/>
    <w:rsid w:val="00296982"/>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296982"/>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96982"/>
    <w:rPr>
      <w:rFonts w:ascii="Calibri" w:eastAsia="Calibri" w:hAnsi="Calibri" w:cs="Times New Roman"/>
    </w:rPr>
  </w:style>
  <w:style w:type="paragraph" w:customStyle="1" w:styleId="Default">
    <w:name w:val="Default"/>
    <w:rsid w:val="00296982"/>
    <w:pPr>
      <w:autoSpaceDE w:val="0"/>
      <w:autoSpaceDN w:val="0"/>
      <w:adjustRightInd w:val="0"/>
      <w:spacing w:after="0" w:line="240" w:lineRule="auto"/>
    </w:pPr>
    <w:rPr>
      <w:rFonts w:ascii="Arial" w:eastAsia="Calibri" w:hAnsi="Arial" w:cs="Arial"/>
      <w:color w:val="000000"/>
      <w:sz w:val="24"/>
      <w:szCs w:val="24"/>
      <w:lang w:eastAsia="es-MX"/>
    </w:rPr>
  </w:style>
  <w:style w:type="paragraph" w:styleId="Piedepgina">
    <w:name w:val="footer"/>
    <w:basedOn w:val="Normal"/>
    <w:link w:val="PiedepginaCar"/>
    <w:uiPriority w:val="99"/>
    <w:unhideWhenUsed/>
    <w:rsid w:val="002969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96982"/>
    <w:rPr>
      <w:rFonts w:ascii="Calibri" w:eastAsia="Calibri" w:hAnsi="Calibri" w:cs="Times New Roman"/>
    </w:rPr>
  </w:style>
  <w:style w:type="paragraph" w:styleId="Textoindependiente">
    <w:name w:val="Body Text"/>
    <w:basedOn w:val="Normal"/>
    <w:link w:val="TextoindependienteCar"/>
    <w:uiPriority w:val="99"/>
    <w:semiHidden/>
    <w:unhideWhenUsed/>
    <w:rsid w:val="00D614DF"/>
    <w:pPr>
      <w:spacing w:after="120"/>
    </w:pPr>
  </w:style>
  <w:style w:type="character" w:customStyle="1" w:styleId="TextoindependienteCar">
    <w:name w:val="Texto independiente Car"/>
    <w:basedOn w:val="Fuentedeprrafopredeter"/>
    <w:link w:val="Textoindependiente"/>
    <w:uiPriority w:val="99"/>
    <w:semiHidden/>
    <w:rsid w:val="00D614DF"/>
    <w:rPr>
      <w:rFonts w:ascii="Calibri" w:eastAsia="Calibri" w:hAnsi="Calibri" w:cs="Times New Roman"/>
    </w:rPr>
  </w:style>
  <w:style w:type="paragraph" w:styleId="Textoindependienteprimerasangra">
    <w:name w:val="Body Text First Indent"/>
    <w:basedOn w:val="Textoindependiente"/>
    <w:link w:val="TextoindependienteprimerasangraCar"/>
    <w:rsid w:val="00D614DF"/>
    <w:pPr>
      <w:spacing w:line="240" w:lineRule="auto"/>
      <w:ind w:firstLine="210"/>
    </w:pPr>
    <w:rPr>
      <w:rFonts w:ascii="Times New Roman" w:eastAsia="Times New Roman" w:hAnsi="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rsid w:val="00D614DF"/>
    <w:rPr>
      <w:rFonts w:ascii="Times New Roman" w:eastAsia="Times New Roman" w:hAnsi="Times New Roman" w:cs="Times New Roman"/>
      <w:sz w:val="24"/>
      <w:szCs w:val="24"/>
      <w:lang w:val="es-ES" w:eastAsia="es-ES"/>
    </w:rPr>
  </w:style>
  <w:style w:type="character" w:styleId="Hipervnculo">
    <w:name w:val="Hyperlink"/>
    <w:uiPriority w:val="99"/>
    <w:unhideWhenUsed/>
    <w:rsid w:val="00D614DF"/>
    <w:rPr>
      <w:color w:val="0000FF"/>
      <w:u w:val="single"/>
    </w:rPr>
  </w:style>
  <w:style w:type="paragraph" w:styleId="Textodeglobo">
    <w:name w:val="Balloon Text"/>
    <w:basedOn w:val="Normal"/>
    <w:link w:val="TextodegloboCar"/>
    <w:uiPriority w:val="99"/>
    <w:semiHidden/>
    <w:unhideWhenUsed/>
    <w:rsid w:val="00345F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45F84"/>
    <w:rPr>
      <w:rFonts w:ascii="Tahoma" w:eastAsia="Calibri" w:hAnsi="Tahoma" w:cs="Tahoma"/>
      <w:sz w:val="16"/>
      <w:szCs w:val="16"/>
    </w:rPr>
  </w:style>
  <w:style w:type="paragraph" w:customStyle="1" w:styleId="xgmail-default">
    <w:name w:val="x_gmail-default"/>
    <w:basedOn w:val="Normal"/>
    <w:rsid w:val="00C02E22"/>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lbl-encabezado-negro">
    <w:name w:val="lbl-encabezado-negro"/>
    <w:basedOn w:val="Fuentedeprrafopredeter"/>
    <w:rsid w:val="00C877B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5103AF-28BB-4C25-BDA7-40962A676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4161</Words>
  <Characters>22886</Characters>
  <Application>Microsoft Office Word</Application>
  <DocSecurity>4</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jose ramon gomez martinez</cp:lastModifiedBy>
  <cp:revision>2</cp:revision>
  <dcterms:created xsi:type="dcterms:W3CDTF">2019-05-11T01:49:00Z</dcterms:created>
  <dcterms:modified xsi:type="dcterms:W3CDTF">2019-05-11T01:49:00Z</dcterms:modified>
</cp:coreProperties>
</file>