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7361" w:rsidRDefault="00557361">
      <w:pPr>
        <w:pStyle w:val="Standard"/>
        <w:tabs>
          <w:tab w:val="left" w:pos="142"/>
        </w:tabs>
        <w:jc w:val="right"/>
        <w:rPr>
          <w:rFonts w:ascii="TheSans Regular" w:hAnsi="TheSans Regular" w:cs="Arial" w:hint="eastAsia"/>
        </w:rPr>
      </w:pPr>
    </w:p>
    <w:p w:rsidR="00557361" w:rsidRDefault="00557361">
      <w:pPr>
        <w:pStyle w:val="Standard"/>
        <w:tabs>
          <w:tab w:val="left" w:pos="142"/>
        </w:tabs>
        <w:jc w:val="right"/>
        <w:rPr>
          <w:rFonts w:ascii="TheSans Regular" w:hAnsi="TheSans Regular" w:cs="Arial" w:hint="eastAsia"/>
        </w:rPr>
      </w:pPr>
    </w:p>
    <w:p w:rsidR="00557361" w:rsidRDefault="00557361">
      <w:pPr>
        <w:pStyle w:val="Standard"/>
        <w:tabs>
          <w:tab w:val="left" w:pos="142"/>
        </w:tabs>
        <w:jc w:val="center"/>
        <w:rPr>
          <w:rFonts w:ascii="TheSans Regular" w:hAnsi="TheSans Regular" w:cs="Arial" w:hint="eastAsia"/>
        </w:rPr>
      </w:pPr>
    </w:p>
    <w:p w:rsidR="00557361" w:rsidRDefault="00FA4122">
      <w:pPr>
        <w:pStyle w:val="Standard"/>
        <w:tabs>
          <w:tab w:val="left" w:pos="142"/>
        </w:tabs>
        <w:jc w:val="center"/>
        <w:rPr>
          <w:rFonts w:ascii="TheSans Regular" w:hAnsi="TheSans Regular" w:cs="Arial" w:hint="eastAsia"/>
        </w:rPr>
      </w:pPr>
      <w:r>
        <w:rPr>
          <w:rFonts w:ascii="TheSans Regular" w:hAnsi="TheSans Regular" w:cs="Arial"/>
        </w:rPr>
        <w:t>OPINIONES Y RECOMENDACIONES DE CONSEJO CONSULTIVO</w:t>
      </w:r>
    </w:p>
    <w:p w:rsidR="00557361" w:rsidRDefault="00AE6B90">
      <w:pPr>
        <w:pStyle w:val="Standard"/>
        <w:tabs>
          <w:tab w:val="left" w:pos="142"/>
        </w:tabs>
        <w:jc w:val="center"/>
        <w:rPr>
          <w:rFonts w:ascii="TheSans Regular" w:hAnsi="TheSans Regular" w:cs="Arial" w:hint="eastAsia"/>
        </w:rPr>
      </w:pPr>
      <w:r>
        <w:rPr>
          <w:rFonts w:ascii="TheSans Regular" w:hAnsi="TheSans Regular" w:cs="Arial"/>
        </w:rPr>
        <w:t>ABRIL</w:t>
      </w:r>
      <w:r w:rsidR="00391CA1">
        <w:rPr>
          <w:rFonts w:ascii="TheSans Regular" w:hAnsi="TheSans Regular" w:cs="Arial"/>
        </w:rPr>
        <w:t xml:space="preserve"> DE 2019</w:t>
      </w:r>
    </w:p>
    <w:p w:rsidR="00557361" w:rsidRDefault="00557361">
      <w:pPr>
        <w:pStyle w:val="Standard"/>
        <w:tabs>
          <w:tab w:val="left" w:pos="142"/>
        </w:tabs>
        <w:jc w:val="right"/>
        <w:rPr>
          <w:rFonts w:ascii="TheSans Regular" w:hAnsi="TheSans Regular" w:cs="Arial" w:hint="eastAsia"/>
        </w:rPr>
      </w:pPr>
    </w:p>
    <w:p w:rsidR="00557361" w:rsidRDefault="00557361">
      <w:pPr>
        <w:pStyle w:val="Standard"/>
        <w:tabs>
          <w:tab w:val="left" w:pos="142"/>
        </w:tabs>
        <w:jc w:val="both"/>
        <w:rPr>
          <w:rFonts w:ascii="Liberation Serif" w:hAnsi="Liberation Serif" w:cs="Arial"/>
          <w:sz w:val="20"/>
        </w:rPr>
      </w:pPr>
    </w:p>
    <w:p w:rsidR="00557361" w:rsidRDefault="00557361">
      <w:pPr>
        <w:pStyle w:val="Standard"/>
        <w:tabs>
          <w:tab w:val="left" w:pos="142"/>
        </w:tabs>
        <w:jc w:val="both"/>
        <w:rPr>
          <w:rFonts w:ascii="Arial" w:hAnsi="Arial" w:cs="Arial"/>
          <w:sz w:val="20"/>
        </w:rPr>
      </w:pPr>
    </w:p>
    <w:p w:rsidR="00557361" w:rsidRDefault="00FA4122">
      <w:pPr>
        <w:pStyle w:val="Standard"/>
        <w:tabs>
          <w:tab w:val="left" w:pos="142"/>
        </w:tabs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Conforme a los artículo</w:t>
      </w:r>
      <w:r w:rsidR="00AD529F">
        <w:rPr>
          <w:rFonts w:ascii="Arial" w:hAnsi="Arial" w:cs="Arial"/>
          <w:sz w:val="20"/>
        </w:rPr>
        <w:t>s</w:t>
      </w:r>
      <w:r>
        <w:rPr>
          <w:rFonts w:ascii="Arial" w:hAnsi="Arial" w:cs="Arial"/>
          <w:sz w:val="20"/>
        </w:rPr>
        <w:t xml:space="preserve"> 119 y 120 de la Ley de Transporte </w:t>
      </w:r>
      <w:r w:rsidR="00AD529F">
        <w:rPr>
          <w:rFonts w:ascii="Arial" w:hAnsi="Arial" w:cs="Arial"/>
          <w:sz w:val="20"/>
        </w:rPr>
        <w:t>Público,</w:t>
      </w:r>
      <w:r>
        <w:rPr>
          <w:rFonts w:ascii="Arial" w:hAnsi="Arial" w:cs="Arial"/>
          <w:sz w:val="20"/>
        </w:rPr>
        <w:t xml:space="preserve"> así como el artículo 32 del Reglamento Interior de esta Secretaría, el  </w:t>
      </w:r>
      <w:r w:rsidR="00AD529F"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t>Director General de Transporte Colectivo Metropolitano, es Secretario del Consejo Estatal de Transporte, la información corr</w:t>
      </w:r>
      <w:r w:rsidR="00CC3448">
        <w:rPr>
          <w:rFonts w:ascii="Arial" w:hAnsi="Arial" w:cs="Arial"/>
          <w:sz w:val="20"/>
        </w:rPr>
        <w:t xml:space="preserve">espondiente al mes de </w:t>
      </w:r>
      <w:r w:rsidR="00AE6B90">
        <w:rPr>
          <w:rFonts w:ascii="Arial" w:hAnsi="Arial" w:cs="Arial"/>
          <w:sz w:val="20"/>
        </w:rPr>
        <w:t>abril</w:t>
      </w:r>
      <w:r w:rsidR="00391CA1">
        <w:rPr>
          <w:rFonts w:ascii="Arial" w:hAnsi="Arial" w:cs="Arial"/>
          <w:sz w:val="20"/>
        </w:rPr>
        <w:t xml:space="preserve"> de 2019</w:t>
      </w:r>
      <w:r>
        <w:rPr>
          <w:rFonts w:ascii="Arial" w:hAnsi="Arial" w:cs="Arial"/>
          <w:sz w:val="20"/>
        </w:rPr>
        <w:t>, será reportada a través de la Dirección General de Transporte Colectivo Metropolitano.</w:t>
      </w:r>
    </w:p>
    <w:p w:rsidR="00557361" w:rsidRDefault="00557361">
      <w:pPr>
        <w:pStyle w:val="Standard"/>
        <w:tabs>
          <w:tab w:val="left" w:pos="142"/>
        </w:tabs>
        <w:jc w:val="both"/>
        <w:rPr>
          <w:rFonts w:ascii="Arial" w:hAnsi="Arial" w:cs="Arial"/>
          <w:sz w:val="20"/>
        </w:rPr>
      </w:pPr>
    </w:p>
    <w:p w:rsidR="00557361" w:rsidRDefault="00557361">
      <w:pPr>
        <w:pStyle w:val="Standard"/>
        <w:tabs>
          <w:tab w:val="left" w:pos="142"/>
        </w:tabs>
        <w:jc w:val="both"/>
        <w:rPr>
          <w:rFonts w:ascii="TheSans Regular" w:hAnsi="TheSans Regular" w:cs="Arial" w:hint="eastAsia"/>
        </w:rPr>
      </w:pPr>
    </w:p>
    <w:p w:rsidR="00557361" w:rsidRDefault="00557361">
      <w:pPr>
        <w:pStyle w:val="Standard"/>
        <w:tabs>
          <w:tab w:val="left" w:pos="142"/>
        </w:tabs>
        <w:jc w:val="both"/>
        <w:rPr>
          <w:rFonts w:ascii="TheSans Regular" w:hAnsi="TheSans Regular" w:cs="Arial" w:hint="eastAsia"/>
        </w:rPr>
      </w:pPr>
    </w:p>
    <w:p w:rsidR="00557361" w:rsidRDefault="00557361">
      <w:pPr>
        <w:pStyle w:val="Standard"/>
        <w:tabs>
          <w:tab w:val="left" w:pos="142"/>
        </w:tabs>
        <w:jc w:val="right"/>
        <w:rPr>
          <w:rFonts w:ascii="TheSans Regular" w:hAnsi="TheSans Regular" w:cs="Arial" w:hint="eastAsia"/>
        </w:rPr>
      </w:pPr>
    </w:p>
    <w:p w:rsidR="00557361" w:rsidRDefault="00557361">
      <w:pPr>
        <w:pStyle w:val="Standard"/>
        <w:tabs>
          <w:tab w:val="left" w:pos="142"/>
        </w:tabs>
        <w:jc w:val="right"/>
        <w:rPr>
          <w:rFonts w:ascii="TheSans Regular" w:hAnsi="TheSans Regular" w:cs="Arial" w:hint="eastAsia"/>
        </w:rPr>
      </w:pPr>
    </w:p>
    <w:p w:rsidR="00557361" w:rsidRDefault="00557361">
      <w:pPr>
        <w:pStyle w:val="Standard"/>
        <w:tabs>
          <w:tab w:val="left" w:pos="142"/>
        </w:tabs>
        <w:jc w:val="right"/>
        <w:rPr>
          <w:rFonts w:ascii="TheSans Regular" w:hAnsi="TheSans Regular" w:cs="Arial" w:hint="eastAsia"/>
        </w:rPr>
      </w:pPr>
      <w:bookmarkStart w:id="0" w:name="_GoBack"/>
      <w:bookmarkEnd w:id="0"/>
    </w:p>
    <w:p w:rsidR="00557361" w:rsidRDefault="00557361">
      <w:pPr>
        <w:pStyle w:val="Standard"/>
        <w:tabs>
          <w:tab w:val="left" w:pos="142"/>
        </w:tabs>
        <w:jc w:val="right"/>
        <w:rPr>
          <w:rFonts w:ascii="TheSans Regular" w:hAnsi="TheSans Regular" w:cs="Arial" w:hint="eastAsia"/>
        </w:rPr>
      </w:pPr>
    </w:p>
    <w:p w:rsidR="00557361" w:rsidRDefault="00557361">
      <w:pPr>
        <w:pStyle w:val="Standard"/>
        <w:tabs>
          <w:tab w:val="left" w:pos="142"/>
        </w:tabs>
        <w:jc w:val="right"/>
        <w:rPr>
          <w:rFonts w:ascii="TheSans Regular" w:hAnsi="TheSans Regular" w:cs="Arial" w:hint="eastAsia"/>
        </w:rPr>
      </w:pPr>
    </w:p>
    <w:p w:rsidR="00557361" w:rsidRDefault="00557361">
      <w:pPr>
        <w:pStyle w:val="Standard"/>
        <w:tabs>
          <w:tab w:val="left" w:pos="142"/>
        </w:tabs>
        <w:jc w:val="right"/>
        <w:rPr>
          <w:rFonts w:ascii="TheSans Regular" w:hAnsi="TheSans Regular" w:cs="Arial" w:hint="eastAsia"/>
        </w:rPr>
      </w:pPr>
    </w:p>
    <w:p w:rsidR="00557361" w:rsidRDefault="00557361">
      <w:pPr>
        <w:pStyle w:val="Standard"/>
        <w:tabs>
          <w:tab w:val="left" w:pos="142"/>
        </w:tabs>
        <w:jc w:val="right"/>
        <w:rPr>
          <w:rFonts w:ascii="TheSans Regular" w:hAnsi="TheSans Regular" w:cs="Arial" w:hint="eastAsia"/>
        </w:rPr>
      </w:pPr>
    </w:p>
    <w:p w:rsidR="00557361" w:rsidRDefault="00557361">
      <w:pPr>
        <w:pStyle w:val="Standard"/>
        <w:tabs>
          <w:tab w:val="left" w:pos="142"/>
        </w:tabs>
        <w:jc w:val="right"/>
        <w:rPr>
          <w:rFonts w:ascii="TheSans Regular" w:hAnsi="TheSans Regular" w:cs="Arial" w:hint="eastAsia"/>
        </w:rPr>
      </w:pPr>
    </w:p>
    <w:p w:rsidR="00557361" w:rsidRDefault="00557361">
      <w:pPr>
        <w:pStyle w:val="Standard"/>
        <w:tabs>
          <w:tab w:val="left" w:pos="142"/>
        </w:tabs>
        <w:jc w:val="right"/>
        <w:rPr>
          <w:rFonts w:ascii="TheSans Regular" w:hAnsi="TheSans Regular" w:cs="Arial" w:hint="eastAsia"/>
        </w:rPr>
      </w:pPr>
    </w:p>
    <w:p w:rsidR="00557361" w:rsidRDefault="00557361">
      <w:pPr>
        <w:pStyle w:val="Standard"/>
        <w:tabs>
          <w:tab w:val="left" w:pos="142"/>
        </w:tabs>
        <w:jc w:val="right"/>
        <w:rPr>
          <w:rFonts w:ascii="TheSans Regular" w:hAnsi="TheSans Regular" w:cs="Arial" w:hint="eastAsia"/>
        </w:rPr>
      </w:pPr>
    </w:p>
    <w:p w:rsidR="00557361" w:rsidRDefault="00557361">
      <w:pPr>
        <w:pStyle w:val="Standard"/>
        <w:tabs>
          <w:tab w:val="left" w:pos="142"/>
        </w:tabs>
        <w:jc w:val="right"/>
        <w:rPr>
          <w:rFonts w:ascii="TheSans Regular" w:hAnsi="TheSans Regular" w:cs="Arial" w:hint="eastAsia"/>
        </w:rPr>
      </w:pPr>
    </w:p>
    <w:p w:rsidR="00557361" w:rsidRDefault="00557361">
      <w:pPr>
        <w:pStyle w:val="Standard"/>
        <w:tabs>
          <w:tab w:val="left" w:pos="142"/>
        </w:tabs>
        <w:jc w:val="right"/>
        <w:rPr>
          <w:rFonts w:ascii="TheSans Regular" w:hAnsi="TheSans Regular" w:cs="Arial" w:hint="eastAsia"/>
        </w:rPr>
      </w:pPr>
    </w:p>
    <w:p w:rsidR="00557361" w:rsidRDefault="00557361">
      <w:pPr>
        <w:pStyle w:val="Standard"/>
        <w:tabs>
          <w:tab w:val="left" w:pos="142"/>
        </w:tabs>
        <w:jc w:val="right"/>
        <w:rPr>
          <w:rFonts w:ascii="TheSans Regular" w:hAnsi="TheSans Regular" w:cs="Arial" w:hint="eastAsia"/>
        </w:rPr>
      </w:pPr>
    </w:p>
    <w:p w:rsidR="00557361" w:rsidRDefault="00557361">
      <w:pPr>
        <w:pStyle w:val="Standard"/>
        <w:tabs>
          <w:tab w:val="left" w:pos="142"/>
        </w:tabs>
        <w:jc w:val="right"/>
        <w:rPr>
          <w:rFonts w:ascii="TheSans Regular" w:hAnsi="TheSans Regular" w:cs="Arial" w:hint="eastAsia"/>
        </w:rPr>
      </w:pPr>
    </w:p>
    <w:p w:rsidR="00557361" w:rsidRDefault="00557361">
      <w:pPr>
        <w:pStyle w:val="Standard"/>
        <w:tabs>
          <w:tab w:val="left" w:pos="142"/>
        </w:tabs>
        <w:jc w:val="right"/>
        <w:rPr>
          <w:rFonts w:ascii="TheSans Regular" w:hAnsi="TheSans Regular" w:cs="Arial" w:hint="eastAsia"/>
        </w:rPr>
      </w:pPr>
    </w:p>
    <w:p w:rsidR="00557361" w:rsidRDefault="00557361">
      <w:pPr>
        <w:pStyle w:val="Standard"/>
        <w:tabs>
          <w:tab w:val="left" w:pos="142"/>
        </w:tabs>
        <w:jc w:val="right"/>
        <w:rPr>
          <w:rFonts w:ascii="TheSans Regular" w:hAnsi="TheSans Regular" w:cs="Arial" w:hint="eastAsia"/>
        </w:rPr>
      </w:pPr>
    </w:p>
    <w:p w:rsidR="00557361" w:rsidRDefault="00557361">
      <w:pPr>
        <w:pStyle w:val="Standard"/>
        <w:tabs>
          <w:tab w:val="left" w:pos="142"/>
        </w:tabs>
        <w:jc w:val="right"/>
        <w:rPr>
          <w:rFonts w:ascii="TheSans Regular" w:hAnsi="TheSans Regular" w:cs="Arial" w:hint="eastAsia"/>
        </w:rPr>
      </w:pPr>
    </w:p>
    <w:p w:rsidR="00557361" w:rsidRDefault="00557361">
      <w:pPr>
        <w:pStyle w:val="Standard"/>
        <w:tabs>
          <w:tab w:val="left" w:pos="142"/>
        </w:tabs>
        <w:jc w:val="right"/>
        <w:rPr>
          <w:rFonts w:ascii="TheSans Regular" w:hAnsi="TheSans Regular" w:cs="Arial" w:hint="eastAsia"/>
        </w:rPr>
      </w:pPr>
    </w:p>
    <w:p w:rsidR="00557361" w:rsidRDefault="00557361">
      <w:pPr>
        <w:pStyle w:val="Standard"/>
        <w:tabs>
          <w:tab w:val="left" w:pos="142"/>
        </w:tabs>
        <w:jc w:val="right"/>
        <w:rPr>
          <w:rFonts w:ascii="TheSans Regular" w:hAnsi="TheSans Regular" w:cs="Arial" w:hint="eastAsia"/>
        </w:rPr>
      </w:pPr>
    </w:p>
    <w:p w:rsidR="00557361" w:rsidRDefault="00557361">
      <w:pPr>
        <w:pStyle w:val="Standard"/>
        <w:tabs>
          <w:tab w:val="left" w:pos="142"/>
        </w:tabs>
        <w:jc w:val="right"/>
        <w:rPr>
          <w:rFonts w:ascii="TheSans Regular" w:hAnsi="TheSans Regular" w:cs="Arial" w:hint="eastAsia"/>
        </w:rPr>
      </w:pPr>
    </w:p>
    <w:p w:rsidR="00557361" w:rsidRDefault="00557361">
      <w:pPr>
        <w:pStyle w:val="Standard"/>
        <w:tabs>
          <w:tab w:val="left" w:pos="142"/>
        </w:tabs>
        <w:jc w:val="right"/>
        <w:rPr>
          <w:rFonts w:ascii="TheSans Regular" w:hAnsi="TheSans Regular" w:cs="Arial" w:hint="eastAsia"/>
        </w:rPr>
      </w:pPr>
    </w:p>
    <w:p w:rsidR="00557361" w:rsidRDefault="00557361">
      <w:pPr>
        <w:pStyle w:val="Standard"/>
        <w:tabs>
          <w:tab w:val="left" w:pos="142"/>
        </w:tabs>
        <w:jc w:val="right"/>
        <w:rPr>
          <w:rFonts w:ascii="TheSans Regular" w:hAnsi="TheSans Regular" w:cs="Arial" w:hint="eastAsia"/>
        </w:rPr>
      </w:pPr>
    </w:p>
    <w:p w:rsidR="00557361" w:rsidRDefault="00557361">
      <w:pPr>
        <w:pStyle w:val="Standard"/>
        <w:tabs>
          <w:tab w:val="left" w:pos="142"/>
        </w:tabs>
        <w:jc w:val="right"/>
        <w:rPr>
          <w:rFonts w:ascii="TheSans Regular" w:hAnsi="TheSans Regular" w:cs="Arial" w:hint="eastAsia"/>
        </w:rPr>
      </w:pPr>
    </w:p>
    <w:p w:rsidR="00557361" w:rsidRDefault="00557361">
      <w:pPr>
        <w:pStyle w:val="Standard"/>
        <w:tabs>
          <w:tab w:val="left" w:pos="142"/>
        </w:tabs>
        <w:jc w:val="right"/>
        <w:rPr>
          <w:rFonts w:ascii="TheSans Regular" w:hAnsi="TheSans Regular" w:cs="Arial" w:hint="eastAsia"/>
        </w:rPr>
      </w:pPr>
    </w:p>
    <w:p w:rsidR="00557361" w:rsidRDefault="00557361">
      <w:pPr>
        <w:pStyle w:val="Standard"/>
        <w:jc w:val="right"/>
        <w:rPr>
          <w:rFonts w:ascii="Calibri" w:hAnsi="Calibri" w:cs="Calibri"/>
          <w:b/>
          <w:color w:val="002060"/>
          <w:sz w:val="16"/>
          <w:szCs w:val="16"/>
        </w:rPr>
      </w:pPr>
    </w:p>
    <w:sectPr w:rsidR="00557361">
      <w:headerReference w:type="default" r:id="rId7"/>
      <w:footerReference w:type="default" r:id="rId8"/>
      <w:pgSz w:w="12240" w:h="15840"/>
      <w:pgMar w:top="1134" w:right="1134" w:bottom="1134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96DDE" w:rsidRDefault="00A96DDE">
      <w:r>
        <w:separator/>
      </w:r>
    </w:p>
  </w:endnote>
  <w:endnote w:type="continuationSeparator" w:id="0">
    <w:p w:rsidR="00A96DDE" w:rsidRDefault="00A96D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ucida Grande">
    <w:altName w:val="Segoe UI"/>
    <w:charset w:val="00"/>
    <w:family w:val="auto"/>
    <w:pitch w:val="variable"/>
  </w:font>
  <w:font w:name="TheSans Regular">
    <w:altName w:val="Times New Roman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00"/>
    <w:family w:val="roman"/>
    <w:pitch w:val="variable"/>
    <w:sig w:usb0="00000000" w:usb1="500078FF" w:usb2="00000021" w:usb3="00000000" w:csb0="000001B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heSansB W5 Plain">
    <w:altName w:val="Times New Roman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35E4B" w:rsidRDefault="00FA4122">
    <w:pPr>
      <w:pStyle w:val="Piedepgina"/>
      <w:ind w:left="851"/>
      <w:rPr>
        <w:rFonts w:ascii="TheSans Regular" w:hAnsi="TheSans Regular" w:hint="eastAsia"/>
        <w:color w:val="808080"/>
        <w:sz w:val="18"/>
        <w:szCs w:val="18"/>
      </w:rPr>
    </w:pPr>
    <w:r>
      <w:rPr>
        <w:rFonts w:ascii="TheSans Regular" w:hAnsi="TheSans Regular"/>
        <w:noProof/>
        <w:color w:val="808080"/>
        <w:sz w:val="18"/>
        <w:szCs w:val="18"/>
        <w:lang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343080</wp:posOffset>
          </wp:positionH>
          <wp:positionV relativeFrom="paragraph">
            <wp:posOffset>48240</wp:posOffset>
          </wp:positionV>
          <wp:extent cx="38160" cy="749160"/>
          <wp:effectExtent l="0" t="0" r="0" b="0"/>
          <wp:wrapNone/>
          <wp:docPr id="3" name="Imagen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8160" cy="74916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rFonts w:ascii="TheSans Regular" w:hAnsi="TheSans Regular"/>
        <w:color w:val="808080"/>
        <w:sz w:val="18"/>
        <w:szCs w:val="18"/>
      </w:rPr>
      <w:t xml:space="preserve">Av. Muñoz No. 650, Col. Condesa    </w:t>
    </w:r>
  </w:p>
  <w:p w:rsidR="00C35E4B" w:rsidRDefault="00FA4122">
    <w:pPr>
      <w:pStyle w:val="Piedepgina"/>
      <w:ind w:left="851"/>
      <w:rPr>
        <w:rFonts w:ascii="TheSans Regular" w:hAnsi="TheSans Regular" w:hint="eastAsia"/>
        <w:color w:val="808080"/>
        <w:sz w:val="18"/>
        <w:szCs w:val="18"/>
      </w:rPr>
    </w:pPr>
    <w:r>
      <w:rPr>
        <w:rFonts w:ascii="TheSans Regular" w:hAnsi="TheSans Regular"/>
        <w:color w:val="808080"/>
        <w:sz w:val="18"/>
        <w:szCs w:val="18"/>
      </w:rPr>
      <w:t>San Luis Potosí, S.L.P. C.P. 78170</w:t>
    </w:r>
  </w:p>
  <w:p w:rsidR="00C35E4B" w:rsidRDefault="00FA4122">
    <w:pPr>
      <w:pStyle w:val="Piedepgina"/>
      <w:ind w:left="851"/>
      <w:rPr>
        <w:rFonts w:ascii="TheSans Regular" w:hAnsi="TheSans Regular" w:hint="eastAsia"/>
        <w:color w:val="808080"/>
        <w:sz w:val="18"/>
        <w:szCs w:val="18"/>
      </w:rPr>
    </w:pPr>
    <w:r>
      <w:rPr>
        <w:rFonts w:ascii="TheSans Regular" w:hAnsi="TheSans Regular"/>
        <w:color w:val="808080"/>
        <w:sz w:val="18"/>
        <w:szCs w:val="18"/>
      </w:rPr>
      <w:t>Tel. 01 (444) 8120677 y 8121094</w:t>
    </w:r>
  </w:p>
  <w:p w:rsidR="00C35E4B" w:rsidRDefault="00FA4122">
    <w:pPr>
      <w:pStyle w:val="Piedepgina"/>
      <w:ind w:left="851"/>
      <w:rPr>
        <w:rFonts w:ascii="TheSans Regular" w:hAnsi="TheSans Regular" w:hint="eastAsia"/>
        <w:color w:val="808080"/>
        <w:sz w:val="18"/>
        <w:szCs w:val="18"/>
      </w:rPr>
    </w:pPr>
    <w:r>
      <w:rPr>
        <w:rFonts w:ascii="TheSans Regular" w:hAnsi="TheSans Regular"/>
        <w:color w:val="808080"/>
        <w:sz w:val="18"/>
        <w:szCs w:val="18"/>
      </w:rPr>
      <w:t>www.slp.gob.mx</w:t>
    </w:r>
  </w:p>
  <w:p w:rsidR="00C35E4B" w:rsidRDefault="00FA4122">
    <w:pPr>
      <w:pStyle w:val="Piedepgina"/>
      <w:ind w:left="851"/>
      <w:rPr>
        <w:rFonts w:ascii="TheSans Regular" w:hAnsi="TheSans Regular" w:hint="eastAsia"/>
        <w:color w:val="808080"/>
        <w:sz w:val="18"/>
        <w:szCs w:val="18"/>
      </w:rPr>
    </w:pPr>
    <w:r>
      <w:rPr>
        <w:rFonts w:ascii="TheSans Regular" w:hAnsi="TheSans Regular"/>
        <w:color w:val="808080"/>
        <w:sz w:val="18"/>
        <w:szCs w:val="18"/>
      </w:rPr>
      <w:t xml:space="preserve"> </w:t>
    </w:r>
  </w:p>
  <w:p w:rsidR="00C35E4B" w:rsidRDefault="00A96DDE">
    <w:pPr>
      <w:pStyle w:val="Piedepgina"/>
      <w:ind w:left="851"/>
      <w:rPr>
        <w:rFonts w:ascii="TheSansB W5 Plain" w:hAnsi="TheSansB W5 Plain" w:hint="eastAsia"/>
        <w:color w:val="808080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96DDE" w:rsidRDefault="00A96DDE">
      <w:r>
        <w:rPr>
          <w:color w:val="000000"/>
        </w:rPr>
        <w:separator/>
      </w:r>
    </w:p>
  </w:footnote>
  <w:footnote w:type="continuationSeparator" w:id="0">
    <w:p w:rsidR="00A96DDE" w:rsidRDefault="00A96D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35E4B" w:rsidRDefault="00FA4122">
    <w:pPr>
      <w:pStyle w:val="Encabezado"/>
      <w:ind w:left="-993" w:right="-142"/>
    </w:pPr>
    <w:r>
      <w:t xml:space="preserve">             </w:t>
    </w:r>
    <w:r>
      <w:rPr>
        <w:lang w:eastAsia="es-MX"/>
      </w:rPr>
      <w:t xml:space="preserve">     </w:t>
    </w:r>
    <w:r>
      <w:rPr>
        <w:noProof/>
        <w:lang w:eastAsia="es-MX"/>
      </w:rPr>
      <w:drawing>
        <wp:inline distT="0" distB="0" distL="0" distR="0">
          <wp:extent cx="835200" cy="1134000"/>
          <wp:effectExtent l="0" t="0" r="3000" b="9000"/>
          <wp:docPr id="1" name="Imagen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35200" cy="113400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                          </w:t>
    </w:r>
    <w:r>
      <w:rPr>
        <w:noProof/>
        <w:lang w:eastAsia="es-MX"/>
      </w:rPr>
      <w:drawing>
        <wp:inline distT="0" distB="0" distL="0" distR="0">
          <wp:extent cx="2177280" cy="861839"/>
          <wp:effectExtent l="0" t="0" r="0" b="0"/>
          <wp:docPr id="2" name="0 Imagen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177280" cy="861839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E95BE9"/>
    <w:multiLevelType w:val="multilevel"/>
    <w:tmpl w:val="7FECF4A8"/>
    <w:styleLink w:val="Sinlista1"/>
    <w:lvl w:ilvl="0">
      <w:start w:val="1"/>
      <w:numFmt w:val="none"/>
      <w:lvlText w:val="%1."/>
      <w:lvlJc w:val="left"/>
      <w:pPr>
        <w:ind w:left="720" w:hanging="360"/>
      </w:pPr>
    </w:lvl>
    <w:lvl w:ilvl="1">
      <w:start w:val="1"/>
      <w:numFmt w:val="none"/>
      <w:lvlText w:val="%2."/>
      <w:lvlJc w:val="left"/>
      <w:pPr>
        <w:ind w:left="1080" w:hanging="360"/>
      </w:pPr>
    </w:lvl>
    <w:lvl w:ilvl="2">
      <w:start w:val="1"/>
      <w:numFmt w:val="none"/>
      <w:lvlText w:val="%3."/>
      <w:lvlJc w:val="left"/>
      <w:pPr>
        <w:ind w:left="1440" w:hanging="360"/>
      </w:pPr>
    </w:lvl>
    <w:lvl w:ilvl="3">
      <w:start w:val="1"/>
      <w:numFmt w:val="none"/>
      <w:lvlText w:val="%4."/>
      <w:lvlJc w:val="left"/>
      <w:pPr>
        <w:ind w:left="1800" w:hanging="360"/>
      </w:pPr>
    </w:lvl>
    <w:lvl w:ilvl="4">
      <w:start w:val="1"/>
      <w:numFmt w:val="none"/>
      <w:lvlText w:val="%5."/>
      <w:lvlJc w:val="left"/>
      <w:pPr>
        <w:ind w:left="2160" w:hanging="360"/>
      </w:pPr>
    </w:lvl>
    <w:lvl w:ilvl="5">
      <w:start w:val="1"/>
      <w:numFmt w:val="none"/>
      <w:lvlText w:val="%6."/>
      <w:lvlJc w:val="left"/>
      <w:pPr>
        <w:ind w:left="2520" w:hanging="360"/>
      </w:pPr>
    </w:lvl>
    <w:lvl w:ilvl="6">
      <w:start w:val="1"/>
      <w:numFmt w:val="none"/>
      <w:lvlText w:val="%7."/>
      <w:lvlJc w:val="left"/>
      <w:pPr>
        <w:ind w:left="2880" w:hanging="360"/>
      </w:pPr>
    </w:lvl>
    <w:lvl w:ilvl="7">
      <w:start w:val="1"/>
      <w:numFmt w:val="none"/>
      <w:lvlText w:val="%8."/>
      <w:lvlJc w:val="left"/>
      <w:pPr>
        <w:ind w:left="3240" w:hanging="360"/>
      </w:pPr>
    </w:lvl>
    <w:lvl w:ilvl="8">
      <w:start w:val="1"/>
      <w:numFmt w:val="none"/>
      <w:lvlText w:val="%9."/>
      <w:lvlJc w:val="left"/>
      <w:pPr>
        <w:ind w:left="360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361"/>
    <w:rsid w:val="00061334"/>
    <w:rsid w:val="0035600C"/>
    <w:rsid w:val="00391CA1"/>
    <w:rsid w:val="00557361"/>
    <w:rsid w:val="005F23B7"/>
    <w:rsid w:val="006B7E35"/>
    <w:rsid w:val="008C7AED"/>
    <w:rsid w:val="00A96DDE"/>
    <w:rsid w:val="00AD529F"/>
    <w:rsid w:val="00AE6B90"/>
    <w:rsid w:val="00CC3448"/>
    <w:rsid w:val="00D04C56"/>
    <w:rsid w:val="00DC35F6"/>
    <w:rsid w:val="00FA4122"/>
    <w:rsid w:val="00FB4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8EA05A"/>
  <w15:docId w15:val="{B780C1F4-C8E6-485A-92AE-6B3BF0F80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MS Mincho" w:hAnsi="Cambria" w:cs="Tahoma"/>
        <w:kern w:val="3"/>
        <w:sz w:val="24"/>
        <w:szCs w:val="24"/>
        <w:lang w:val="es-MX" w:eastAsia="es-ES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Lista">
    <w:name w:val="List"/>
    <w:basedOn w:val="Textbody"/>
    <w:rPr>
      <w:rFonts w:cs="Lucida Sans"/>
    </w:rPr>
  </w:style>
  <w:style w:type="paragraph" w:styleId="Descripcin">
    <w:name w:val="caption"/>
    <w:basedOn w:val="Standard"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styleId="Encabezado">
    <w:name w:val="header"/>
    <w:basedOn w:val="Standard"/>
    <w:pPr>
      <w:tabs>
        <w:tab w:val="center" w:pos="4252"/>
        <w:tab w:val="right" w:pos="8504"/>
      </w:tabs>
    </w:pPr>
  </w:style>
  <w:style w:type="paragraph" w:styleId="Piedepgina">
    <w:name w:val="footer"/>
    <w:basedOn w:val="Standard"/>
    <w:pPr>
      <w:tabs>
        <w:tab w:val="center" w:pos="4252"/>
        <w:tab w:val="right" w:pos="8504"/>
      </w:tabs>
    </w:pPr>
  </w:style>
  <w:style w:type="paragraph" w:styleId="Textodeglobo">
    <w:name w:val="Balloon Text"/>
    <w:basedOn w:val="Standard"/>
    <w:rPr>
      <w:rFonts w:ascii="Lucida Grande" w:eastAsia="Lucida Grande" w:hAnsi="Lucida Grande" w:cs="Lucida Grande"/>
      <w:sz w:val="18"/>
      <w:szCs w:val="18"/>
    </w:rPr>
  </w:style>
  <w:style w:type="paragraph" w:customStyle="1" w:styleId="TableContents">
    <w:name w:val="Table Contents"/>
    <w:basedOn w:val="Standard"/>
  </w:style>
  <w:style w:type="character" w:customStyle="1" w:styleId="EncabezadoCar">
    <w:name w:val="Encabezado Car"/>
    <w:basedOn w:val="Fuentedeprrafopredeter"/>
  </w:style>
  <w:style w:type="character" w:customStyle="1" w:styleId="PiedepginaCar">
    <w:name w:val="Pie de página Car"/>
    <w:basedOn w:val="Fuentedeprrafopredeter"/>
  </w:style>
  <w:style w:type="character" w:customStyle="1" w:styleId="TextodegloboCar">
    <w:name w:val="Texto de globo Car"/>
    <w:basedOn w:val="Fuentedeprrafopredeter"/>
    <w:rPr>
      <w:rFonts w:ascii="Lucida Grande" w:eastAsia="Lucida Grande" w:hAnsi="Lucida Grande" w:cs="Lucida Grande"/>
      <w:sz w:val="18"/>
      <w:szCs w:val="18"/>
    </w:rPr>
  </w:style>
  <w:style w:type="character" w:customStyle="1" w:styleId="Internetlink">
    <w:name w:val="Internet link"/>
    <w:basedOn w:val="Fuentedeprrafopredeter"/>
    <w:rPr>
      <w:color w:val="0000FF"/>
      <w:u w:val="single"/>
    </w:rPr>
  </w:style>
  <w:style w:type="numbering" w:customStyle="1" w:styleId="Sinlista1">
    <w:name w:val="Sin lista1"/>
    <w:basedOn w:val="Sinlista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74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11 11</dc:creator>
  <cp:lastModifiedBy>amorita</cp:lastModifiedBy>
  <cp:revision>8</cp:revision>
  <cp:lastPrinted>2017-09-01T13:37:00Z</cp:lastPrinted>
  <dcterms:created xsi:type="dcterms:W3CDTF">2018-11-06T20:44:00Z</dcterms:created>
  <dcterms:modified xsi:type="dcterms:W3CDTF">2019-05-03T15:28:00Z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11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