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44F9" w:rsidRPr="00EB6F91" w:rsidRDefault="009A44F9" w:rsidP="009A44F9">
      <w:pPr>
        <w:jc w:val="both"/>
        <w:rPr>
          <w:rFonts w:ascii="Arial" w:hAnsi="Arial" w:cs="Arial"/>
          <w:b/>
          <w:bCs/>
          <w:sz w:val="25"/>
          <w:szCs w:val="25"/>
          <w:shd w:val="clear" w:color="auto" w:fill="FFFFFF"/>
        </w:rPr>
      </w:pPr>
      <w:bookmarkStart w:id="0" w:name="_GoBack"/>
      <w:bookmarkEnd w:id="0"/>
      <w:r w:rsidRPr="00EB6F91">
        <w:rPr>
          <w:rFonts w:ascii="Arial" w:hAnsi="Arial" w:cs="Arial"/>
          <w:b/>
          <w:bCs/>
          <w:sz w:val="25"/>
          <w:szCs w:val="25"/>
          <w:shd w:val="clear" w:color="auto" w:fill="FFFFFF"/>
        </w:rPr>
        <w:t xml:space="preserve">ACTA CORRESPONDIENTE A LA SESIÓN ORDINARIA DE LA COMISIÓN DE DISCIPLINA DEL CONSEJO DE LA JUDICATURA DEL MES DE </w:t>
      </w:r>
      <w:r>
        <w:rPr>
          <w:rFonts w:ascii="Arial" w:hAnsi="Arial" w:cs="Arial"/>
          <w:b/>
          <w:bCs/>
          <w:sz w:val="25"/>
          <w:szCs w:val="25"/>
          <w:shd w:val="clear" w:color="auto" w:fill="FFFFFF"/>
        </w:rPr>
        <w:t xml:space="preserve">MAYO 08 </w:t>
      </w:r>
      <w:r w:rsidRPr="00EB6F91">
        <w:rPr>
          <w:rFonts w:ascii="Arial" w:hAnsi="Arial" w:cs="Arial"/>
          <w:b/>
          <w:bCs/>
          <w:sz w:val="25"/>
          <w:szCs w:val="25"/>
          <w:shd w:val="clear" w:color="auto" w:fill="FFFFFF"/>
        </w:rPr>
        <w:t>DE 2019.-</w:t>
      </w:r>
    </w:p>
    <w:p w:rsidR="009A44F9" w:rsidRPr="009A44F9" w:rsidRDefault="009A44F9" w:rsidP="009A44F9">
      <w:pPr>
        <w:tabs>
          <w:tab w:val="center" w:pos="4250"/>
          <w:tab w:val="left" w:pos="7430"/>
        </w:tabs>
        <w:suppressAutoHyphens/>
        <w:spacing w:after="0" w:line="360" w:lineRule="auto"/>
        <w:jc w:val="both"/>
        <w:rPr>
          <w:rFonts w:ascii="Arial" w:eastAsia="Times New Roman" w:hAnsi="Arial" w:cs="Arial"/>
          <w:b/>
          <w:color w:val="000000"/>
          <w:sz w:val="25"/>
          <w:szCs w:val="25"/>
          <w:lang w:eastAsia="es-ES"/>
        </w:rPr>
      </w:pPr>
      <w:r w:rsidRPr="009A44F9">
        <w:rPr>
          <w:rFonts w:ascii="Arial" w:eastAsia="Times New Roman" w:hAnsi="Arial" w:cs="Arial"/>
          <w:b/>
          <w:bCs/>
          <w:color w:val="00000A"/>
          <w:sz w:val="25"/>
          <w:szCs w:val="25"/>
          <w:shd w:val="clear" w:color="auto" w:fill="FFFFFF"/>
          <w:lang w:eastAsia="es-ES"/>
        </w:rPr>
        <w:t xml:space="preserve">ACUERDO 72/05/2019.- </w:t>
      </w:r>
      <w:r w:rsidRPr="009A44F9">
        <w:rPr>
          <w:rFonts w:ascii="Arial" w:eastAsia="Times New Roman" w:hAnsi="Arial" w:cs="Arial"/>
          <w:bCs/>
          <w:color w:val="00000A"/>
          <w:sz w:val="25"/>
          <w:szCs w:val="25"/>
          <w:shd w:val="clear" w:color="auto" w:fill="FFFFFF"/>
          <w:lang w:eastAsia="es-ES"/>
        </w:rPr>
        <w:t>Los miembros de la Comisión de Disciplina, con</w:t>
      </w:r>
      <w:r w:rsidRPr="009A44F9">
        <w:rPr>
          <w:rFonts w:ascii="Arial" w:eastAsia="Times New Roman" w:hAnsi="Arial" w:cs="Arial"/>
          <w:color w:val="000000"/>
          <w:sz w:val="25"/>
          <w:szCs w:val="25"/>
          <w:lang w:eastAsia="es-ES"/>
        </w:rPr>
        <w:t xml:space="preserve"> fundamento en el artículo 40, fracción V del Reglamento Interior del Consejo de la Judicatura</w:t>
      </w:r>
      <w:r w:rsidRPr="009A44F9">
        <w:rPr>
          <w:rFonts w:ascii="Arial" w:eastAsia="Times New Roman" w:hAnsi="Arial" w:cs="Arial"/>
          <w:bCs/>
          <w:color w:val="00000A"/>
          <w:sz w:val="25"/>
          <w:szCs w:val="25"/>
          <w:shd w:val="clear" w:color="auto" w:fill="FFFFFF"/>
          <w:lang w:eastAsia="es-ES"/>
        </w:rPr>
        <w:t xml:space="preserve">, determinan emitir las siguientes recomendaciones. </w:t>
      </w:r>
      <w:r w:rsidRPr="009A44F9">
        <w:rPr>
          <w:rFonts w:ascii="Arial" w:eastAsia="Times New Roman" w:hAnsi="Arial" w:cs="Arial"/>
          <w:b/>
          <w:bCs/>
          <w:color w:val="00000A"/>
          <w:sz w:val="25"/>
          <w:szCs w:val="25"/>
          <w:shd w:val="clear" w:color="auto" w:fill="FFFFFF"/>
          <w:lang w:eastAsia="es-ES"/>
        </w:rPr>
        <w:t>- -</w:t>
      </w:r>
      <w:r w:rsidRPr="009A44F9">
        <w:rPr>
          <w:rFonts w:ascii="Arial" w:eastAsia="Times New Roman" w:hAnsi="Arial" w:cs="Arial"/>
          <w:bCs/>
          <w:color w:val="00000A"/>
          <w:sz w:val="25"/>
          <w:szCs w:val="25"/>
          <w:shd w:val="clear" w:color="auto" w:fill="FFFFFF"/>
          <w:lang w:eastAsia="es-ES"/>
        </w:rPr>
        <w:t xml:space="preserve"> </w:t>
      </w:r>
      <w:r w:rsidRPr="009A44F9">
        <w:rPr>
          <w:rFonts w:ascii="Arial" w:eastAsia="Times New Roman" w:hAnsi="Arial" w:cs="Arial"/>
          <w:b/>
          <w:bCs/>
          <w:color w:val="00000A"/>
          <w:sz w:val="25"/>
          <w:szCs w:val="25"/>
          <w:shd w:val="clear" w:color="auto" w:fill="FFFFFF"/>
          <w:lang w:eastAsia="es-ES"/>
        </w:rPr>
        <w:t xml:space="preserve"> - - - - - - - - </w:t>
      </w:r>
      <w:r w:rsidRPr="009A44F9">
        <w:rPr>
          <w:rFonts w:ascii="Arial" w:eastAsia="Times New Roman" w:hAnsi="Arial" w:cs="Arial"/>
          <w:b/>
          <w:color w:val="000000"/>
          <w:sz w:val="25"/>
          <w:szCs w:val="25"/>
          <w:lang w:eastAsia="es-ES"/>
        </w:rPr>
        <w:t xml:space="preserve">a) </w:t>
      </w:r>
      <w:r w:rsidRPr="009A44F9">
        <w:rPr>
          <w:rFonts w:ascii="Arial" w:eastAsia="Times New Roman" w:hAnsi="Arial" w:cs="Arial"/>
          <w:color w:val="000000"/>
          <w:sz w:val="25"/>
          <w:szCs w:val="25"/>
          <w:lang w:eastAsia="es-ES"/>
        </w:rPr>
        <w:t xml:space="preserve">Con fundamento en lo dispuesto por los artículos 40, fracción V y 142, fracción III del Reglamento Interior del Consejo de la Judicatura del Poder Judicial del Estado, se le hace un llamado al </w:t>
      </w:r>
      <w:r w:rsidRPr="009A44F9">
        <w:rPr>
          <w:rFonts w:ascii="Arial" w:eastAsia="Times New Roman" w:hAnsi="Arial" w:cs="Arial"/>
          <w:b/>
          <w:color w:val="000000"/>
          <w:sz w:val="25"/>
          <w:szCs w:val="25"/>
          <w:lang w:eastAsia="es-ES"/>
        </w:rPr>
        <w:t>Titular del Juzgado</w:t>
      </w:r>
      <w:r w:rsidRPr="009A44F9">
        <w:rPr>
          <w:rFonts w:ascii="Arial" w:eastAsia="Times New Roman" w:hAnsi="Arial" w:cs="Arial"/>
          <w:color w:val="000000"/>
          <w:sz w:val="25"/>
          <w:szCs w:val="25"/>
          <w:lang w:eastAsia="es-ES"/>
        </w:rPr>
        <w:t xml:space="preserve"> para el debido cumplimiento de las recomendaciones administrativas, que emite la Comisión de Disciplina del Consejo de la Judicatura, como resultado de las visitas al órgano jurisdiccional de su adscripción, para lo cual deberá supervisar que el personal cumpla con sus obligaciones y no se repitan nuevamente aquellas omisiones o faltas detectadas que ya fueron motivo de alguna recomendación, en el entendido para el caso de reincidencia se iniciara el procedimiento administrativo de responsabilidad en contra de los servidores judiciales responsables del incumplimiento. </w:t>
      </w:r>
      <w:r w:rsidRPr="009A44F9">
        <w:rPr>
          <w:rFonts w:ascii="Arial" w:eastAsia="Times New Roman" w:hAnsi="Arial" w:cs="Arial"/>
          <w:b/>
          <w:color w:val="000000"/>
          <w:sz w:val="25"/>
          <w:szCs w:val="25"/>
          <w:lang w:eastAsia="es-ES"/>
        </w:rPr>
        <w:t xml:space="preserve">- - - - </w:t>
      </w:r>
    </w:p>
    <w:p w:rsidR="009A44F9" w:rsidRPr="009A44F9" w:rsidRDefault="009A44F9" w:rsidP="009A44F9">
      <w:pPr>
        <w:tabs>
          <w:tab w:val="center" w:pos="4250"/>
          <w:tab w:val="left" w:pos="7430"/>
        </w:tabs>
        <w:suppressAutoHyphens/>
        <w:spacing w:after="0" w:line="360" w:lineRule="auto"/>
        <w:jc w:val="both"/>
        <w:rPr>
          <w:rFonts w:ascii="Arial" w:eastAsia="Times New Roman" w:hAnsi="Arial" w:cs="Arial"/>
          <w:b/>
          <w:bCs/>
          <w:color w:val="00000A"/>
          <w:sz w:val="25"/>
          <w:szCs w:val="25"/>
          <w:shd w:val="clear" w:color="auto" w:fill="FFFFFF"/>
          <w:lang w:eastAsia="es-ES"/>
        </w:rPr>
      </w:pPr>
      <w:r w:rsidRPr="009A44F9">
        <w:rPr>
          <w:rFonts w:ascii="Arial" w:eastAsia="Times New Roman" w:hAnsi="Arial" w:cs="Arial"/>
          <w:b/>
          <w:color w:val="000000"/>
          <w:sz w:val="25"/>
          <w:szCs w:val="25"/>
          <w:lang w:eastAsia="es-ES"/>
        </w:rPr>
        <w:t xml:space="preserve">b) </w:t>
      </w:r>
      <w:r w:rsidRPr="009A44F9">
        <w:rPr>
          <w:rFonts w:ascii="Arial" w:eastAsia="Times New Roman" w:hAnsi="Arial" w:cs="Arial"/>
          <w:color w:val="000000"/>
          <w:sz w:val="25"/>
          <w:szCs w:val="25"/>
          <w:lang w:eastAsia="es-ES"/>
        </w:rPr>
        <w:t xml:space="preserve">Con fundamento en los artículos 142, fracciones IV y V, así como 144, fracción III del Reglamento Interior del Consejo de la Judicatura del Poder Judicial del Estado, se </w:t>
      </w:r>
      <w:r w:rsidRPr="009A44F9">
        <w:rPr>
          <w:rFonts w:ascii="Arial" w:eastAsia="Times New Roman" w:hAnsi="Arial" w:cs="Arial"/>
          <w:b/>
          <w:color w:val="000000"/>
          <w:sz w:val="25"/>
          <w:szCs w:val="25"/>
          <w:lang w:eastAsia="es-ES"/>
        </w:rPr>
        <w:t xml:space="preserve">recomienda al Titular </w:t>
      </w:r>
      <w:r w:rsidRPr="009A44F9">
        <w:rPr>
          <w:rFonts w:ascii="Arial" w:eastAsia="Times New Roman" w:hAnsi="Arial" w:cs="Arial"/>
          <w:color w:val="000000"/>
          <w:sz w:val="25"/>
          <w:szCs w:val="25"/>
          <w:lang w:eastAsia="es-ES"/>
        </w:rPr>
        <w:t xml:space="preserve">supervisar que en lo sucesivo, se registre en las Agendas de audiencias, en el caso de aquellas que no fue posible su desahogo, el motivo por el cual no se llevaron a cabo (falta de notificación, no comparecencia de las partes,  diferimiento, desistimiento etc.), toda vez de que durante la primera visita ordinaria del año 2019 dos mil nueve, se observó que no fue posible determinar la causa del por qué no fueron desahogadas, dada la omisión de las anotaciones correspondientes. </w:t>
      </w:r>
      <w:r w:rsidRPr="009A44F9">
        <w:rPr>
          <w:rFonts w:ascii="Arial" w:eastAsia="Times New Roman" w:hAnsi="Arial" w:cs="Arial"/>
          <w:b/>
          <w:color w:val="000000"/>
          <w:sz w:val="25"/>
          <w:szCs w:val="25"/>
          <w:lang w:eastAsia="es-ES"/>
        </w:rPr>
        <w:t>- - - - - - - - - - - - - - - - - - - - - - - - - c)</w:t>
      </w:r>
      <w:r w:rsidRPr="009A44F9">
        <w:rPr>
          <w:rFonts w:ascii="Arial" w:eastAsia="Times New Roman" w:hAnsi="Arial" w:cs="Arial"/>
          <w:color w:val="000000"/>
          <w:sz w:val="25"/>
          <w:szCs w:val="25"/>
          <w:lang w:eastAsia="es-ES"/>
        </w:rPr>
        <w:t xml:space="preserve"> En los términos del artículo 142, fracción VII del Reglamento Interior del Consejo de la Judicatura, </w:t>
      </w:r>
      <w:r w:rsidRPr="009A44F9">
        <w:rPr>
          <w:rFonts w:ascii="Arial" w:eastAsia="Times New Roman" w:hAnsi="Arial" w:cs="Arial"/>
          <w:b/>
          <w:color w:val="000000"/>
          <w:sz w:val="25"/>
          <w:szCs w:val="25"/>
          <w:lang w:eastAsia="es-ES"/>
        </w:rPr>
        <w:t>el Titular</w:t>
      </w:r>
      <w:r w:rsidRPr="009A44F9">
        <w:rPr>
          <w:rFonts w:ascii="Arial" w:eastAsia="Times New Roman" w:hAnsi="Arial" w:cs="Arial"/>
          <w:color w:val="000000"/>
          <w:sz w:val="25"/>
          <w:szCs w:val="25"/>
          <w:lang w:eastAsia="es-ES"/>
        </w:rPr>
        <w:t xml:space="preserve"> deberá vigilar que el libro de control de registro de billetes de depósito se mantenga actualizado, en los términos del  numeral 163, fracción III del Reglamento antes invocado, </w:t>
      </w:r>
      <w:r w:rsidRPr="009A44F9">
        <w:rPr>
          <w:rFonts w:ascii="Arial" w:eastAsia="Times New Roman" w:hAnsi="Arial" w:cs="Arial"/>
          <w:color w:val="000000"/>
          <w:sz w:val="25"/>
          <w:szCs w:val="25"/>
          <w:lang w:eastAsia="es-ES"/>
        </w:rPr>
        <w:lastRenderedPageBreak/>
        <w:t xml:space="preserve">habida cuenta durante la primera visita ordinaria practicada en el presente año al Juzgado de su adscripción, se observó que en el medio de control, se omitió registrar el billete de depósito DC247824 por la cantidad de $10,000.00 (DIEZ MIL PESOS 00/100 M.N.) correspondiente al expediente 668/2018 de Jurisdicción Voluntaria del índice de ese Juzgado. </w:t>
      </w:r>
      <w:r w:rsidRPr="009A44F9">
        <w:rPr>
          <w:rFonts w:ascii="Arial" w:eastAsia="Times New Roman" w:hAnsi="Arial" w:cs="Arial"/>
          <w:b/>
          <w:color w:val="000000"/>
          <w:sz w:val="25"/>
          <w:szCs w:val="25"/>
          <w:lang w:eastAsia="es-ES"/>
        </w:rPr>
        <w:t xml:space="preserve">- - - - - - - - - - - - - - - - - - - </w:t>
      </w:r>
    </w:p>
    <w:p w:rsidR="009A44F9" w:rsidRPr="009A44F9" w:rsidRDefault="009A44F9" w:rsidP="009A44F9">
      <w:pPr>
        <w:tabs>
          <w:tab w:val="center" w:pos="4250"/>
          <w:tab w:val="left" w:pos="7430"/>
        </w:tabs>
        <w:suppressAutoHyphens/>
        <w:spacing w:after="0" w:line="360" w:lineRule="auto"/>
        <w:jc w:val="both"/>
        <w:rPr>
          <w:rFonts w:ascii="Arial" w:eastAsia="Times New Roman" w:hAnsi="Arial" w:cs="Arial"/>
          <w:b/>
          <w:color w:val="000000"/>
          <w:sz w:val="25"/>
          <w:szCs w:val="25"/>
          <w:lang w:eastAsia="es-ES"/>
        </w:rPr>
      </w:pPr>
      <w:r w:rsidRPr="009A44F9">
        <w:rPr>
          <w:rFonts w:ascii="Arial" w:eastAsia="Times New Roman" w:hAnsi="Arial" w:cs="Arial"/>
          <w:b/>
          <w:color w:val="000000"/>
          <w:sz w:val="25"/>
          <w:szCs w:val="25"/>
          <w:lang w:eastAsia="es-ES"/>
        </w:rPr>
        <w:t xml:space="preserve">d) </w:t>
      </w:r>
      <w:r w:rsidRPr="009A44F9">
        <w:rPr>
          <w:rFonts w:ascii="Arial" w:eastAsia="Times New Roman" w:hAnsi="Arial" w:cs="Arial"/>
          <w:color w:val="000000"/>
          <w:sz w:val="25"/>
          <w:szCs w:val="25"/>
          <w:lang w:eastAsia="es-ES"/>
        </w:rPr>
        <w:t xml:space="preserve">De conformidad con los artículos 142 fracción V y 208 del Reglamento Interior del Consejo de la Judicatura, </w:t>
      </w:r>
      <w:r w:rsidRPr="009A44F9">
        <w:rPr>
          <w:rFonts w:ascii="Arial" w:eastAsia="Times New Roman" w:hAnsi="Arial" w:cs="Arial"/>
          <w:b/>
          <w:color w:val="000000"/>
          <w:sz w:val="25"/>
          <w:szCs w:val="25"/>
          <w:lang w:eastAsia="es-ES"/>
        </w:rPr>
        <w:t>el Titular</w:t>
      </w:r>
      <w:r w:rsidRPr="009A44F9">
        <w:rPr>
          <w:rFonts w:ascii="Arial" w:eastAsia="Times New Roman" w:hAnsi="Arial" w:cs="Arial"/>
          <w:color w:val="000000"/>
          <w:sz w:val="25"/>
          <w:szCs w:val="25"/>
          <w:lang w:eastAsia="es-ES"/>
        </w:rPr>
        <w:t xml:space="preserve"> deberá vigilar que se revisen y se remitan oportunamente al Tribunal de Alzada, los expedientes en los que se interponga el recurso de Apelación, en los términos del artículo 942 del Código de Procedimientos Civiles en el Estado, o de la Ley de la materia correspondiente, para evitar que se devuelvan por falta de requisitos de </w:t>
      </w:r>
      <w:proofErr w:type="spellStart"/>
      <w:r w:rsidRPr="009A44F9">
        <w:rPr>
          <w:rFonts w:ascii="Arial" w:eastAsia="Times New Roman" w:hAnsi="Arial" w:cs="Arial"/>
          <w:color w:val="000000"/>
          <w:sz w:val="25"/>
          <w:szCs w:val="25"/>
          <w:lang w:eastAsia="es-ES"/>
        </w:rPr>
        <w:t>procedibilidad</w:t>
      </w:r>
      <w:proofErr w:type="spellEnd"/>
      <w:r w:rsidRPr="009A44F9">
        <w:rPr>
          <w:rFonts w:ascii="Arial" w:eastAsia="Times New Roman" w:hAnsi="Arial" w:cs="Arial"/>
          <w:color w:val="000000"/>
          <w:sz w:val="25"/>
          <w:szCs w:val="25"/>
          <w:lang w:eastAsia="es-ES"/>
        </w:rPr>
        <w:t xml:space="preserve"> en la substanciación de los mismos, toda vez que se observó que se devolvieron 9 nueve recursos por omisiones y que se encontraba pendiente de enviar el interpuesto en el expediente 574/2016 del Juicio Ordinario Civil, circunstancia que provoca la prolongación del procedimiento de los juicios en perjuicio de los justiciables, contraviniendo con ello a lo dispuesto por el artículo 17 de nuestra Carta Magna.</w:t>
      </w:r>
      <w:r w:rsidRPr="009A44F9">
        <w:rPr>
          <w:rFonts w:ascii="Arial" w:eastAsia="Times New Roman" w:hAnsi="Arial" w:cs="Arial"/>
          <w:b/>
          <w:color w:val="000000"/>
          <w:sz w:val="25"/>
          <w:szCs w:val="25"/>
          <w:lang w:eastAsia="es-ES"/>
        </w:rPr>
        <w:t xml:space="preserve"> - - - - - - - - - - - - - - - - - - - - - - - - - - - - - - </w:t>
      </w:r>
      <w:r>
        <w:rPr>
          <w:rFonts w:ascii="Arial" w:eastAsia="Times New Roman" w:hAnsi="Arial" w:cs="Arial"/>
          <w:b/>
          <w:color w:val="000000"/>
          <w:sz w:val="25"/>
          <w:szCs w:val="25"/>
          <w:lang w:eastAsia="es-ES"/>
        </w:rPr>
        <w:t xml:space="preserve">- - - - - - - - - - - - - - - - - </w:t>
      </w:r>
      <w:r w:rsidRPr="009A44F9">
        <w:rPr>
          <w:rFonts w:ascii="Arial" w:eastAsia="Times New Roman" w:hAnsi="Arial" w:cs="Arial"/>
          <w:b/>
          <w:color w:val="000000"/>
          <w:sz w:val="25"/>
          <w:szCs w:val="25"/>
          <w:lang w:eastAsia="es-ES"/>
        </w:rPr>
        <w:t xml:space="preserve">e) </w:t>
      </w:r>
      <w:r w:rsidRPr="009A44F9">
        <w:rPr>
          <w:rFonts w:ascii="Arial" w:eastAsia="Times New Roman" w:hAnsi="Arial" w:cs="Arial"/>
          <w:color w:val="000000"/>
          <w:sz w:val="25"/>
          <w:szCs w:val="25"/>
          <w:lang w:eastAsia="es-ES"/>
        </w:rPr>
        <w:t xml:space="preserve">Con fundamento en la fracción III del artículo 144 del Reglamento Interior del Consejo de la Judicatura del Poder Judicial del Estado, se recomienda </w:t>
      </w:r>
      <w:r w:rsidRPr="009A44F9">
        <w:rPr>
          <w:rFonts w:ascii="Arial" w:eastAsia="Times New Roman" w:hAnsi="Arial" w:cs="Arial"/>
          <w:b/>
          <w:color w:val="000000"/>
          <w:sz w:val="25"/>
          <w:szCs w:val="25"/>
          <w:lang w:eastAsia="es-ES"/>
        </w:rPr>
        <w:t>a los Secretarios de Acuerdos</w:t>
      </w:r>
      <w:r w:rsidRPr="009A44F9">
        <w:rPr>
          <w:rFonts w:ascii="Arial" w:eastAsia="Times New Roman" w:hAnsi="Arial" w:cs="Arial"/>
          <w:color w:val="000000"/>
          <w:sz w:val="25"/>
          <w:szCs w:val="25"/>
          <w:lang w:eastAsia="es-ES"/>
        </w:rPr>
        <w:t xml:space="preserve"> registrar en las Agendas de audiencias, en el caso de aquellas que no fue posible su desahogo, el motivo por el cual no se llevaron a cabo (falta de notificación, no comparecencia de las partes,  diferimiento, desistimiento, etc.), toda vez que se observó que no fue posible determinar la causa del por qué no fueron desahogadas, dada la omisión de las anotaciones correspondientes. </w:t>
      </w:r>
      <w:r w:rsidRPr="009A44F9">
        <w:rPr>
          <w:rFonts w:ascii="Arial" w:eastAsia="Times New Roman" w:hAnsi="Arial" w:cs="Arial"/>
          <w:b/>
          <w:color w:val="000000"/>
          <w:sz w:val="25"/>
          <w:szCs w:val="25"/>
          <w:lang w:eastAsia="es-ES"/>
        </w:rPr>
        <w:t xml:space="preserve">- - - </w:t>
      </w:r>
    </w:p>
    <w:p w:rsidR="009A44F9" w:rsidRPr="009A44F9" w:rsidRDefault="009A44F9" w:rsidP="009A44F9">
      <w:pPr>
        <w:tabs>
          <w:tab w:val="center" w:pos="4250"/>
          <w:tab w:val="left" w:pos="7430"/>
        </w:tabs>
        <w:suppressAutoHyphens/>
        <w:spacing w:after="0" w:line="360" w:lineRule="auto"/>
        <w:jc w:val="both"/>
        <w:rPr>
          <w:rFonts w:ascii="Arial" w:eastAsia="Times New Roman" w:hAnsi="Arial" w:cs="Arial"/>
          <w:b/>
          <w:color w:val="000000"/>
          <w:sz w:val="25"/>
          <w:szCs w:val="25"/>
          <w:lang w:eastAsia="es-ES"/>
        </w:rPr>
      </w:pPr>
      <w:r w:rsidRPr="009A44F9">
        <w:rPr>
          <w:rFonts w:ascii="Arial" w:eastAsia="Times New Roman" w:hAnsi="Arial" w:cs="Arial"/>
          <w:b/>
          <w:color w:val="000000"/>
          <w:sz w:val="25"/>
          <w:szCs w:val="25"/>
          <w:lang w:eastAsia="es-ES"/>
        </w:rPr>
        <w:t xml:space="preserve">f) </w:t>
      </w:r>
      <w:r w:rsidRPr="009A44F9">
        <w:rPr>
          <w:rFonts w:ascii="Arial" w:eastAsia="Times New Roman" w:hAnsi="Arial" w:cs="Arial"/>
          <w:color w:val="000000"/>
          <w:sz w:val="25"/>
          <w:szCs w:val="25"/>
          <w:lang w:eastAsia="es-ES"/>
        </w:rPr>
        <w:t xml:space="preserve">En los términos del artículo 144, fracción IV del Reglamento Interior del Consejo de la Judicatura, </w:t>
      </w:r>
      <w:r w:rsidRPr="009A44F9">
        <w:rPr>
          <w:rFonts w:ascii="Arial" w:eastAsia="Times New Roman" w:hAnsi="Arial" w:cs="Arial"/>
          <w:b/>
          <w:color w:val="000000"/>
          <w:sz w:val="25"/>
          <w:szCs w:val="25"/>
          <w:lang w:eastAsia="es-ES"/>
        </w:rPr>
        <w:t>los Secretarios de Acuerdos</w:t>
      </w:r>
      <w:r w:rsidRPr="009A44F9">
        <w:rPr>
          <w:rFonts w:ascii="Arial" w:eastAsia="Times New Roman" w:hAnsi="Arial" w:cs="Arial"/>
          <w:color w:val="000000"/>
          <w:sz w:val="25"/>
          <w:szCs w:val="25"/>
          <w:lang w:eastAsia="es-ES"/>
        </w:rPr>
        <w:t xml:space="preserve"> deberán vigilar que la Subsecretaria mantenga actualizado el libro de control del registro de billetes de depósito, en los términos del artículo 163, fracción III del Reglamento antes invocado, habida cuenta que durante la primera visita ordinaria practicada en el </w:t>
      </w:r>
      <w:r w:rsidRPr="009A44F9">
        <w:rPr>
          <w:rFonts w:ascii="Arial" w:eastAsia="Times New Roman" w:hAnsi="Arial" w:cs="Arial"/>
          <w:color w:val="000000"/>
          <w:sz w:val="25"/>
          <w:szCs w:val="25"/>
          <w:lang w:eastAsia="es-ES"/>
        </w:rPr>
        <w:lastRenderedPageBreak/>
        <w:t xml:space="preserve">presente año al Juzgado de su adscripción, se observó que en el medio de control, se omitió registrar el billete de depósito DC247824 por la cantidad de $10,000.00 (DIEZ MIL PESOS 00/100 M.N.) correspondiente al expediente 668/2018 de Jurisdicción Voluntaria del índice de ese Juzgado. </w:t>
      </w:r>
      <w:r w:rsidRPr="009A44F9">
        <w:rPr>
          <w:rFonts w:ascii="Arial" w:eastAsia="Times New Roman" w:hAnsi="Arial" w:cs="Arial"/>
          <w:b/>
          <w:color w:val="000000"/>
          <w:sz w:val="25"/>
          <w:szCs w:val="25"/>
          <w:lang w:eastAsia="es-ES"/>
        </w:rPr>
        <w:t>- - - - - - - - - - - - g)</w:t>
      </w:r>
      <w:r w:rsidRPr="009A44F9">
        <w:rPr>
          <w:rFonts w:ascii="Arial" w:eastAsia="Times New Roman" w:hAnsi="Arial" w:cs="Arial"/>
          <w:color w:val="000000"/>
          <w:sz w:val="25"/>
          <w:szCs w:val="25"/>
          <w:lang w:eastAsia="es-ES"/>
        </w:rPr>
        <w:t xml:space="preserve"> De conformidad con lo dispuesto por las fracciones XII y XV del artículo 74 de la Ley Orgánica del Poder Judicial y por los numerales 144 fracción XX y 208 del Reglamento Interior del Consejo de la Judicatura, </w:t>
      </w:r>
      <w:r w:rsidRPr="009A44F9">
        <w:rPr>
          <w:rFonts w:ascii="Arial" w:eastAsia="Times New Roman" w:hAnsi="Arial" w:cs="Arial"/>
          <w:b/>
          <w:color w:val="000000"/>
          <w:sz w:val="25"/>
          <w:szCs w:val="25"/>
          <w:lang w:eastAsia="es-ES"/>
        </w:rPr>
        <w:t>los Secretarios de Acuerdos</w:t>
      </w:r>
      <w:r w:rsidRPr="009A44F9">
        <w:rPr>
          <w:rFonts w:ascii="Arial" w:eastAsia="Times New Roman" w:hAnsi="Arial" w:cs="Arial"/>
          <w:color w:val="000000"/>
          <w:sz w:val="25"/>
          <w:szCs w:val="25"/>
          <w:lang w:eastAsia="es-ES"/>
        </w:rPr>
        <w:t xml:space="preserve"> deberán revisar y remitir oportunamente al Tribunal de Alzada, los expedientes en los que se interponga el recurso de Apelación, en los términos del artículo 942 del Código de Procedimientos Civiles en el Estado, o de la Ley de la materia correspondiente, para evitar que se devuelvan por falta de requisitos de </w:t>
      </w:r>
      <w:proofErr w:type="spellStart"/>
      <w:r w:rsidRPr="009A44F9">
        <w:rPr>
          <w:rFonts w:ascii="Arial" w:eastAsia="Times New Roman" w:hAnsi="Arial" w:cs="Arial"/>
          <w:color w:val="000000"/>
          <w:sz w:val="25"/>
          <w:szCs w:val="25"/>
          <w:lang w:eastAsia="es-ES"/>
        </w:rPr>
        <w:t>procedibilidad</w:t>
      </w:r>
      <w:proofErr w:type="spellEnd"/>
      <w:r w:rsidRPr="009A44F9">
        <w:rPr>
          <w:rFonts w:ascii="Arial" w:eastAsia="Times New Roman" w:hAnsi="Arial" w:cs="Arial"/>
          <w:color w:val="000000"/>
          <w:sz w:val="25"/>
          <w:szCs w:val="25"/>
          <w:lang w:eastAsia="es-ES"/>
        </w:rPr>
        <w:t xml:space="preserve"> en la substanciación de los mismos, toda vez que se observó que se devolvieron 09 recursos por omisiones y que se encontraba pendiente de enviar el interpuesto en el expediente 574/2016 del Juicio Ordinario Civil, circunstancia que provoca la prolongación del procedimiento de los juicios en perjuicio de los justiciables, contraviniendo con ello a lo dispuesto por el artículo 17 de nuestra Carta Magna. </w:t>
      </w:r>
      <w:r w:rsidRPr="009A44F9">
        <w:rPr>
          <w:rFonts w:ascii="Arial" w:eastAsia="Times New Roman" w:hAnsi="Arial" w:cs="Arial"/>
          <w:b/>
          <w:color w:val="000000"/>
          <w:sz w:val="25"/>
          <w:szCs w:val="25"/>
          <w:lang w:eastAsia="es-ES"/>
        </w:rPr>
        <w:t xml:space="preserve">- - </w:t>
      </w:r>
    </w:p>
    <w:p w:rsidR="00B43E8C" w:rsidRDefault="009A44F9" w:rsidP="009A44F9">
      <w:pPr>
        <w:spacing w:line="360" w:lineRule="auto"/>
        <w:jc w:val="both"/>
        <w:rPr>
          <w:rFonts w:ascii="Arial" w:eastAsia="Times New Roman" w:hAnsi="Arial" w:cs="Arial"/>
          <w:b/>
          <w:color w:val="000000"/>
          <w:sz w:val="25"/>
          <w:szCs w:val="25"/>
          <w:lang w:eastAsia="es-ES"/>
        </w:rPr>
      </w:pPr>
      <w:r w:rsidRPr="009A44F9">
        <w:rPr>
          <w:rFonts w:ascii="Arial" w:eastAsia="Times New Roman" w:hAnsi="Arial" w:cs="Arial"/>
          <w:b/>
          <w:color w:val="000000"/>
          <w:sz w:val="25"/>
          <w:szCs w:val="25"/>
          <w:lang w:eastAsia="es-ES"/>
        </w:rPr>
        <w:t xml:space="preserve">h) </w:t>
      </w:r>
      <w:r w:rsidRPr="009A44F9">
        <w:rPr>
          <w:rFonts w:ascii="Arial" w:eastAsia="Times New Roman" w:hAnsi="Arial" w:cs="Arial"/>
          <w:color w:val="000000"/>
          <w:sz w:val="25"/>
          <w:szCs w:val="25"/>
          <w:lang w:eastAsia="es-ES"/>
        </w:rPr>
        <w:t xml:space="preserve">En términos del artículo 77, fracción II de la Ley Orgánica del Poder Judicial del Estado, </w:t>
      </w:r>
      <w:r w:rsidRPr="009A44F9">
        <w:rPr>
          <w:rFonts w:ascii="Arial" w:eastAsia="Times New Roman" w:hAnsi="Arial" w:cs="Arial"/>
          <w:b/>
          <w:color w:val="000000"/>
          <w:sz w:val="25"/>
          <w:szCs w:val="25"/>
          <w:lang w:eastAsia="es-ES"/>
        </w:rPr>
        <w:t>la Subsecretaria</w:t>
      </w:r>
      <w:r w:rsidRPr="009A44F9">
        <w:rPr>
          <w:rFonts w:ascii="Arial" w:eastAsia="Times New Roman" w:hAnsi="Arial" w:cs="Arial"/>
          <w:color w:val="000000"/>
          <w:sz w:val="25"/>
          <w:szCs w:val="25"/>
          <w:lang w:eastAsia="es-ES"/>
        </w:rPr>
        <w:t xml:space="preserve"> deberá mantener actualizado el libro de control de registro de billetes de depósito, en los términos del artículo 163, fracción III del Reglamento antes invocado, habida cuenta que durante la Primera Visita Ordinaria practicada en el presente año al Juzgado de su adscripción, se observó que en el medio de control, se omitió registrar el billete de depósito DC247824 por la cantidad de $10,000.00 (DIEZ MIL PESOS 00/100 M.N.) correspondiente al expediente 668/2018 de Jurisdicción Voluntaria del índice de ese Juzgado. </w:t>
      </w:r>
      <w:r w:rsidRPr="009A44F9">
        <w:rPr>
          <w:rFonts w:ascii="Arial" w:eastAsia="Times New Roman" w:hAnsi="Arial" w:cs="Arial"/>
          <w:b/>
          <w:color w:val="000000"/>
          <w:sz w:val="25"/>
          <w:szCs w:val="25"/>
          <w:lang w:eastAsia="es-ES"/>
        </w:rPr>
        <w:t xml:space="preserve">- - - - - - - - - - - - - - - - - - - - - - - - - - - - - - - - - - - - </w:t>
      </w:r>
    </w:p>
    <w:p w:rsidR="009A44F9" w:rsidRDefault="009A44F9">
      <w:r>
        <w:br w:type="page"/>
      </w:r>
    </w:p>
    <w:p w:rsidR="009A44F9" w:rsidRDefault="009A44F9" w:rsidP="009A44F9">
      <w:pPr>
        <w:tabs>
          <w:tab w:val="center" w:pos="4250"/>
          <w:tab w:val="left" w:pos="7430"/>
        </w:tabs>
        <w:spacing w:line="360" w:lineRule="auto"/>
        <w:jc w:val="both"/>
        <w:rPr>
          <w:rFonts w:ascii="Arial" w:hAnsi="Arial" w:cs="Arial"/>
          <w:color w:val="000000"/>
          <w:sz w:val="25"/>
          <w:szCs w:val="25"/>
        </w:rPr>
      </w:pPr>
      <w:r>
        <w:rPr>
          <w:rFonts w:ascii="Arial" w:hAnsi="Arial" w:cs="Arial"/>
          <w:b/>
          <w:bCs/>
          <w:sz w:val="25"/>
          <w:szCs w:val="25"/>
          <w:shd w:val="clear" w:color="auto" w:fill="FFFFFF"/>
        </w:rPr>
        <w:lastRenderedPageBreak/>
        <w:t xml:space="preserve">ACUERDO 74/05/2019.- </w:t>
      </w:r>
      <w:r>
        <w:rPr>
          <w:rFonts w:ascii="Arial" w:hAnsi="Arial" w:cs="Arial"/>
          <w:bCs/>
          <w:sz w:val="25"/>
          <w:szCs w:val="25"/>
          <w:shd w:val="clear" w:color="auto" w:fill="FFFFFF"/>
        </w:rPr>
        <w:t>Los miembros de la Comisión de Disciplina, con</w:t>
      </w:r>
      <w:r>
        <w:rPr>
          <w:rFonts w:ascii="Arial" w:hAnsi="Arial" w:cs="Arial"/>
          <w:color w:val="000000"/>
          <w:sz w:val="25"/>
          <w:szCs w:val="25"/>
        </w:rPr>
        <w:t xml:space="preserve"> fundamento en el artículo 40, fracción V del Reglamento Interior del Consejo de la Judicatura</w:t>
      </w:r>
      <w:r>
        <w:rPr>
          <w:rFonts w:ascii="Arial" w:hAnsi="Arial" w:cs="Arial"/>
          <w:bCs/>
          <w:sz w:val="25"/>
          <w:szCs w:val="25"/>
          <w:shd w:val="clear" w:color="auto" w:fill="FFFFFF"/>
        </w:rPr>
        <w:t xml:space="preserve">, determinan emitir las </w:t>
      </w:r>
      <w:r w:rsidRPr="00723417">
        <w:rPr>
          <w:rFonts w:ascii="Arial" w:hAnsi="Arial" w:cs="Arial"/>
          <w:bCs/>
          <w:sz w:val="25"/>
          <w:szCs w:val="25"/>
          <w:shd w:val="clear" w:color="auto" w:fill="FFFFFF"/>
        </w:rPr>
        <w:t>siguientes reco</w:t>
      </w:r>
      <w:r>
        <w:rPr>
          <w:rFonts w:ascii="Arial" w:hAnsi="Arial" w:cs="Arial"/>
          <w:bCs/>
          <w:sz w:val="25"/>
          <w:szCs w:val="25"/>
          <w:shd w:val="clear" w:color="auto" w:fill="FFFFFF"/>
        </w:rPr>
        <w:t xml:space="preserve">mendaciones al </w:t>
      </w:r>
      <w:r w:rsidRPr="00D75777">
        <w:rPr>
          <w:rFonts w:ascii="Arial" w:hAnsi="Arial" w:cs="Arial"/>
          <w:b/>
          <w:bCs/>
          <w:sz w:val="25"/>
          <w:szCs w:val="25"/>
        </w:rPr>
        <w:t>Juzgado Séptimo del Ramo Penal</w:t>
      </w:r>
      <w:r w:rsidRPr="00723417">
        <w:rPr>
          <w:rFonts w:ascii="Arial" w:hAnsi="Arial" w:cs="Arial"/>
          <w:b/>
          <w:bCs/>
          <w:sz w:val="25"/>
          <w:szCs w:val="25"/>
          <w:shd w:val="clear" w:color="auto" w:fill="FFFFFF"/>
        </w:rPr>
        <w:t>. - - - - - - - - - - - - - - - - - -</w:t>
      </w:r>
      <w:r>
        <w:rPr>
          <w:rFonts w:ascii="Arial" w:hAnsi="Arial" w:cs="Arial"/>
          <w:b/>
          <w:bCs/>
          <w:sz w:val="25"/>
          <w:szCs w:val="25"/>
          <w:shd w:val="clear" w:color="auto" w:fill="FFFFFF"/>
        </w:rPr>
        <w:t xml:space="preserve"> - - - - - - - - - - - - - - - - - - - - </w:t>
      </w:r>
      <w:r w:rsidRPr="00723417">
        <w:rPr>
          <w:rFonts w:ascii="Arial" w:hAnsi="Arial" w:cs="Arial"/>
          <w:b/>
          <w:color w:val="000000"/>
          <w:sz w:val="25"/>
          <w:szCs w:val="25"/>
        </w:rPr>
        <w:t xml:space="preserve">a) </w:t>
      </w:r>
      <w:r w:rsidRPr="00723417">
        <w:rPr>
          <w:rFonts w:ascii="Arial" w:hAnsi="Arial" w:cs="Arial"/>
          <w:color w:val="000000"/>
          <w:sz w:val="25"/>
          <w:szCs w:val="25"/>
        </w:rPr>
        <w:t>De conformidad con</w:t>
      </w:r>
      <w:r w:rsidRPr="00723417">
        <w:rPr>
          <w:rFonts w:ascii="Arial" w:hAnsi="Arial" w:cs="Arial"/>
          <w:b/>
          <w:color w:val="000000"/>
          <w:sz w:val="25"/>
          <w:szCs w:val="25"/>
        </w:rPr>
        <w:t xml:space="preserve"> </w:t>
      </w:r>
      <w:r w:rsidRPr="00723417">
        <w:rPr>
          <w:rFonts w:ascii="Arial" w:hAnsi="Arial" w:cs="Arial"/>
          <w:color w:val="000000"/>
          <w:sz w:val="25"/>
          <w:szCs w:val="25"/>
        </w:rPr>
        <w:t>lo dispuesto por la fracción I del artículo 142 del Reglamento Interior</w:t>
      </w:r>
      <w:r w:rsidRPr="00B533D0">
        <w:rPr>
          <w:rFonts w:ascii="Arial" w:hAnsi="Arial" w:cs="Arial"/>
          <w:color w:val="000000"/>
          <w:sz w:val="25"/>
          <w:szCs w:val="25"/>
        </w:rPr>
        <w:t xml:space="preserve"> del Consejo de la Judicatura, se recomienda</w:t>
      </w:r>
      <w:r>
        <w:rPr>
          <w:rFonts w:ascii="Arial" w:hAnsi="Arial" w:cs="Arial"/>
          <w:color w:val="000000"/>
          <w:sz w:val="25"/>
          <w:szCs w:val="25"/>
        </w:rPr>
        <w:t xml:space="preserve"> </w:t>
      </w:r>
      <w:r w:rsidRPr="00723417">
        <w:rPr>
          <w:rFonts w:ascii="Arial" w:hAnsi="Arial" w:cs="Arial"/>
          <w:b/>
          <w:color w:val="000000"/>
          <w:sz w:val="25"/>
          <w:szCs w:val="25"/>
        </w:rPr>
        <w:t>al Titular</w:t>
      </w:r>
      <w:r w:rsidRPr="00B533D0">
        <w:rPr>
          <w:rFonts w:ascii="Arial" w:hAnsi="Arial" w:cs="Arial"/>
          <w:color w:val="000000"/>
          <w:sz w:val="25"/>
          <w:szCs w:val="25"/>
        </w:rPr>
        <w:t xml:space="preserve"> vigilar que el préstamo de expedientes, se efectúe mediante las boletas a que se refiere el </w:t>
      </w:r>
      <w:r>
        <w:rPr>
          <w:rFonts w:ascii="Arial" w:hAnsi="Arial" w:cs="Arial"/>
          <w:color w:val="000000"/>
          <w:sz w:val="25"/>
          <w:szCs w:val="25"/>
        </w:rPr>
        <w:t>numeral</w:t>
      </w:r>
      <w:r w:rsidRPr="00B533D0">
        <w:rPr>
          <w:rFonts w:ascii="Arial" w:hAnsi="Arial" w:cs="Arial"/>
          <w:color w:val="000000"/>
          <w:sz w:val="25"/>
          <w:szCs w:val="25"/>
        </w:rPr>
        <w:t xml:space="preserve"> 190 del Reglamento antes mencionado, </w:t>
      </w:r>
      <w:r>
        <w:rPr>
          <w:rFonts w:ascii="Arial" w:hAnsi="Arial" w:cs="Arial"/>
          <w:color w:val="000000"/>
          <w:sz w:val="25"/>
          <w:szCs w:val="25"/>
        </w:rPr>
        <w:t>habida cuenta que durante la p</w:t>
      </w:r>
      <w:r w:rsidRPr="00B533D0">
        <w:rPr>
          <w:rFonts w:ascii="Arial" w:hAnsi="Arial" w:cs="Arial"/>
          <w:color w:val="000000"/>
          <w:sz w:val="25"/>
          <w:szCs w:val="25"/>
        </w:rPr>
        <w:t xml:space="preserve">rimera </w:t>
      </w:r>
      <w:r>
        <w:rPr>
          <w:rFonts w:ascii="Arial" w:hAnsi="Arial" w:cs="Arial"/>
          <w:color w:val="000000"/>
          <w:sz w:val="25"/>
          <w:szCs w:val="25"/>
        </w:rPr>
        <w:t>v</w:t>
      </w:r>
      <w:r w:rsidRPr="00B533D0">
        <w:rPr>
          <w:rFonts w:ascii="Arial" w:hAnsi="Arial" w:cs="Arial"/>
          <w:color w:val="000000"/>
          <w:sz w:val="25"/>
          <w:szCs w:val="25"/>
        </w:rPr>
        <w:t>is</w:t>
      </w:r>
      <w:r>
        <w:rPr>
          <w:rFonts w:ascii="Arial" w:hAnsi="Arial" w:cs="Arial"/>
          <w:color w:val="000000"/>
          <w:sz w:val="25"/>
          <w:szCs w:val="25"/>
        </w:rPr>
        <w:t>i</w:t>
      </w:r>
      <w:r w:rsidRPr="00B533D0">
        <w:rPr>
          <w:rFonts w:ascii="Arial" w:hAnsi="Arial" w:cs="Arial"/>
          <w:color w:val="000000"/>
          <w:sz w:val="25"/>
          <w:szCs w:val="25"/>
        </w:rPr>
        <w:t xml:space="preserve">ta del presente año al Juzgado de su adscripción, se observó que no se utiliza el llenado de </w:t>
      </w:r>
      <w:r>
        <w:rPr>
          <w:rFonts w:ascii="Arial" w:hAnsi="Arial" w:cs="Arial"/>
          <w:color w:val="000000"/>
          <w:sz w:val="25"/>
          <w:szCs w:val="25"/>
        </w:rPr>
        <w:t>éstas</w:t>
      </w:r>
      <w:r w:rsidRPr="00B533D0">
        <w:rPr>
          <w:rFonts w:ascii="Arial" w:hAnsi="Arial" w:cs="Arial"/>
          <w:color w:val="000000"/>
          <w:sz w:val="25"/>
          <w:szCs w:val="25"/>
        </w:rPr>
        <w:t xml:space="preserve">, </w:t>
      </w:r>
      <w:r>
        <w:rPr>
          <w:rFonts w:ascii="Arial" w:hAnsi="Arial" w:cs="Arial"/>
          <w:color w:val="000000"/>
          <w:sz w:val="25"/>
          <w:szCs w:val="25"/>
        </w:rPr>
        <w:t xml:space="preserve">no obstante que el cumplimiento de esta obligación </w:t>
      </w:r>
      <w:r w:rsidRPr="00B533D0">
        <w:rPr>
          <w:rFonts w:ascii="Arial" w:hAnsi="Arial" w:cs="Arial"/>
          <w:color w:val="000000"/>
          <w:sz w:val="25"/>
          <w:szCs w:val="25"/>
        </w:rPr>
        <w:t>es de suma importancia para el caso de los supuestos a que se refiere el artículo 191 del mismo Reglamento, lo anterior es visible a fojas 5</w:t>
      </w:r>
      <w:r>
        <w:rPr>
          <w:rFonts w:ascii="Arial" w:hAnsi="Arial" w:cs="Arial"/>
          <w:color w:val="000000"/>
          <w:sz w:val="25"/>
          <w:szCs w:val="25"/>
        </w:rPr>
        <w:t xml:space="preserve"> cinco</w:t>
      </w:r>
      <w:r w:rsidRPr="00B533D0">
        <w:rPr>
          <w:rFonts w:ascii="Arial" w:hAnsi="Arial" w:cs="Arial"/>
          <w:color w:val="000000"/>
          <w:sz w:val="25"/>
          <w:szCs w:val="25"/>
        </w:rPr>
        <w:t xml:space="preserve"> del acta de visita que obra en el Juzgado. </w:t>
      </w:r>
      <w:r>
        <w:rPr>
          <w:rFonts w:ascii="Arial" w:hAnsi="Arial" w:cs="Arial"/>
          <w:b/>
          <w:color w:val="000000"/>
          <w:sz w:val="25"/>
          <w:szCs w:val="25"/>
        </w:rPr>
        <w:t xml:space="preserve">- - - - - - - - - - - - - - - - - - - - - - - </w:t>
      </w:r>
      <w:r w:rsidRPr="00B533D0">
        <w:rPr>
          <w:rFonts w:ascii="Arial" w:hAnsi="Arial" w:cs="Arial"/>
          <w:b/>
          <w:color w:val="000000"/>
          <w:sz w:val="25"/>
          <w:szCs w:val="25"/>
        </w:rPr>
        <w:t>b)</w:t>
      </w:r>
      <w:r>
        <w:rPr>
          <w:rFonts w:ascii="Arial" w:hAnsi="Arial" w:cs="Arial"/>
          <w:b/>
          <w:color w:val="000000"/>
          <w:sz w:val="25"/>
          <w:szCs w:val="25"/>
        </w:rPr>
        <w:t xml:space="preserve"> </w:t>
      </w:r>
      <w:r w:rsidRPr="00723417">
        <w:rPr>
          <w:rFonts w:ascii="Arial" w:hAnsi="Arial" w:cs="Arial"/>
          <w:color w:val="000000"/>
          <w:sz w:val="25"/>
          <w:szCs w:val="25"/>
        </w:rPr>
        <w:t>C</w:t>
      </w:r>
      <w:r w:rsidRPr="00B533D0">
        <w:rPr>
          <w:rFonts w:ascii="Arial" w:hAnsi="Arial" w:cs="Arial"/>
          <w:color w:val="000000"/>
          <w:sz w:val="25"/>
          <w:szCs w:val="25"/>
        </w:rPr>
        <w:t xml:space="preserve">on fundamento en </w:t>
      </w:r>
      <w:r>
        <w:rPr>
          <w:rFonts w:ascii="Arial" w:hAnsi="Arial" w:cs="Arial"/>
          <w:color w:val="000000"/>
          <w:sz w:val="25"/>
          <w:szCs w:val="25"/>
        </w:rPr>
        <w:t>los</w:t>
      </w:r>
      <w:r w:rsidRPr="00B533D0">
        <w:rPr>
          <w:rFonts w:ascii="Arial" w:hAnsi="Arial" w:cs="Arial"/>
          <w:color w:val="000000"/>
          <w:sz w:val="25"/>
          <w:szCs w:val="25"/>
        </w:rPr>
        <w:t xml:space="preserve"> artículo</w:t>
      </w:r>
      <w:r>
        <w:rPr>
          <w:rFonts w:ascii="Arial" w:hAnsi="Arial" w:cs="Arial"/>
          <w:color w:val="000000"/>
          <w:sz w:val="25"/>
          <w:szCs w:val="25"/>
        </w:rPr>
        <w:t>s</w:t>
      </w:r>
      <w:r w:rsidRPr="00B533D0">
        <w:rPr>
          <w:rFonts w:ascii="Arial" w:hAnsi="Arial" w:cs="Arial"/>
          <w:color w:val="000000"/>
          <w:sz w:val="25"/>
          <w:szCs w:val="25"/>
        </w:rPr>
        <w:t xml:space="preserve"> 142</w:t>
      </w:r>
      <w:r>
        <w:rPr>
          <w:rFonts w:ascii="Arial" w:hAnsi="Arial" w:cs="Arial"/>
          <w:color w:val="000000"/>
          <w:sz w:val="25"/>
          <w:szCs w:val="25"/>
        </w:rPr>
        <w:t>,</w:t>
      </w:r>
      <w:r w:rsidRPr="00B533D0">
        <w:rPr>
          <w:rFonts w:ascii="Arial" w:hAnsi="Arial" w:cs="Arial"/>
          <w:color w:val="000000"/>
          <w:sz w:val="25"/>
          <w:szCs w:val="25"/>
        </w:rPr>
        <w:t xml:space="preserve"> fracción VII, 163, 166 fracción IX y 173 Reglamento Interior del Consejo de la Judicatura del Poder Judicial del Estado, </w:t>
      </w:r>
      <w:r w:rsidRPr="00FE224A">
        <w:rPr>
          <w:rFonts w:ascii="Arial" w:hAnsi="Arial" w:cs="Arial"/>
          <w:b/>
          <w:color w:val="000000"/>
          <w:sz w:val="25"/>
          <w:szCs w:val="25"/>
        </w:rPr>
        <w:t>e</w:t>
      </w:r>
      <w:r w:rsidRPr="00723417">
        <w:rPr>
          <w:rFonts w:ascii="Arial" w:hAnsi="Arial" w:cs="Arial"/>
          <w:b/>
          <w:color w:val="000000"/>
          <w:sz w:val="25"/>
          <w:szCs w:val="25"/>
        </w:rPr>
        <w:t>l Titular</w:t>
      </w:r>
      <w:r w:rsidRPr="00B533D0">
        <w:rPr>
          <w:rFonts w:ascii="Arial" w:hAnsi="Arial" w:cs="Arial"/>
          <w:color w:val="000000"/>
          <w:sz w:val="25"/>
          <w:szCs w:val="25"/>
        </w:rPr>
        <w:t xml:space="preserve"> </w:t>
      </w:r>
      <w:r>
        <w:rPr>
          <w:rFonts w:ascii="Arial" w:hAnsi="Arial" w:cs="Arial"/>
          <w:color w:val="000000"/>
          <w:sz w:val="25"/>
          <w:szCs w:val="25"/>
        </w:rPr>
        <w:t xml:space="preserve">deberá </w:t>
      </w:r>
      <w:r w:rsidRPr="00B533D0">
        <w:rPr>
          <w:rFonts w:ascii="Arial" w:hAnsi="Arial" w:cs="Arial"/>
          <w:color w:val="000000"/>
          <w:sz w:val="25"/>
          <w:szCs w:val="25"/>
        </w:rPr>
        <w:t>vigilar que los libros</w:t>
      </w:r>
      <w:r w:rsidRPr="00B533D0">
        <w:rPr>
          <w:rFonts w:ascii="Arial" w:hAnsi="Arial" w:cs="Arial"/>
          <w:color w:val="000000"/>
          <w:sz w:val="25"/>
          <w:szCs w:val="25"/>
          <w:lang w:val="es-ES"/>
        </w:rPr>
        <w:t xml:space="preserve"> </w:t>
      </w:r>
      <w:r w:rsidRPr="00B533D0">
        <w:rPr>
          <w:rFonts w:ascii="Arial" w:hAnsi="Arial" w:cs="Arial"/>
          <w:color w:val="000000"/>
          <w:sz w:val="25"/>
          <w:szCs w:val="25"/>
        </w:rPr>
        <w:t>de registro se encuentren actualizados y con las formalidades a que se refiere el segundo precepto legal antes invocado, toda vez que se observó que el libro de exhortos recibidos no se encontraba actualizado</w:t>
      </w:r>
      <w:r>
        <w:rPr>
          <w:rFonts w:ascii="Arial" w:hAnsi="Arial" w:cs="Arial"/>
          <w:color w:val="000000"/>
          <w:sz w:val="25"/>
          <w:szCs w:val="25"/>
        </w:rPr>
        <w:t xml:space="preserve">, en tanto que </w:t>
      </w:r>
      <w:r w:rsidRPr="00B533D0">
        <w:rPr>
          <w:rFonts w:ascii="Arial" w:hAnsi="Arial" w:cs="Arial"/>
          <w:color w:val="000000"/>
          <w:sz w:val="25"/>
          <w:szCs w:val="25"/>
        </w:rPr>
        <w:t xml:space="preserve">el libro de promociones no mencionaba el rubro de las columnas, </w:t>
      </w:r>
      <w:r w:rsidRPr="00B533D0">
        <w:rPr>
          <w:rFonts w:ascii="Arial" w:hAnsi="Arial" w:cs="Arial"/>
          <w:color w:val="000000"/>
          <w:sz w:val="25"/>
          <w:szCs w:val="25"/>
          <w:lang w:val="es-ES_tradnl"/>
        </w:rPr>
        <w:t>situación</w:t>
      </w:r>
      <w:r w:rsidRPr="00B533D0">
        <w:rPr>
          <w:rFonts w:ascii="Arial" w:hAnsi="Arial" w:cs="Arial"/>
          <w:color w:val="000000"/>
          <w:sz w:val="25"/>
          <w:szCs w:val="25"/>
        </w:rPr>
        <w:t xml:space="preserve"> visible a fojas 7, 8, 10 y 11 del acta de visita que obra en poder del Juzgado.</w:t>
      </w:r>
      <w:r>
        <w:rPr>
          <w:rFonts w:ascii="Arial" w:hAnsi="Arial" w:cs="Arial"/>
          <w:color w:val="000000"/>
          <w:sz w:val="25"/>
          <w:szCs w:val="25"/>
        </w:rPr>
        <w:t xml:space="preserve"> </w:t>
      </w:r>
      <w:r>
        <w:rPr>
          <w:rFonts w:ascii="Arial" w:hAnsi="Arial" w:cs="Arial"/>
          <w:b/>
          <w:color w:val="000000"/>
          <w:sz w:val="25"/>
          <w:szCs w:val="25"/>
        </w:rPr>
        <w:t>- - - - - - - - - - - - - - - - - - -  - - - - - - - - - - - - - - - - - - - - - - - -</w:t>
      </w:r>
      <w:r w:rsidRPr="00B533D0">
        <w:rPr>
          <w:rFonts w:ascii="Arial" w:hAnsi="Arial" w:cs="Arial"/>
          <w:b/>
          <w:color w:val="000000"/>
          <w:sz w:val="25"/>
          <w:szCs w:val="25"/>
        </w:rPr>
        <w:t>c)</w:t>
      </w:r>
      <w:r>
        <w:rPr>
          <w:rFonts w:ascii="Arial" w:hAnsi="Arial" w:cs="Arial"/>
          <w:b/>
          <w:color w:val="000000"/>
          <w:sz w:val="25"/>
          <w:szCs w:val="25"/>
        </w:rPr>
        <w:t xml:space="preserve"> </w:t>
      </w:r>
      <w:r w:rsidRPr="006E56A5">
        <w:rPr>
          <w:rFonts w:ascii="Arial" w:hAnsi="Arial" w:cs="Arial"/>
          <w:color w:val="000000"/>
          <w:sz w:val="25"/>
          <w:szCs w:val="25"/>
        </w:rPr>
        <w:t>D</w:t>
      </w:r>
      <w:r w:rsidRPr="00B533D0">
        <w:rPr>
          <w:rFonts w:ascii="Arial" w:hAnsi="Arial" w:cs="Arial"/>
          <w:color w:val="000000"/>
          <w:sz w:val="25"/>
          <w:szCs w:val="25"/>
        </w:rPr>
        <w:t xml:space="preserve">e conformidad con lo dispuesto por </w:t>
      </w:r>
      <w:r>
        <w:rPr>
          <w:rFonts w:ascii="Arial" w:hAnsi="Arial" w:cs="Arial"/>
          <w:color w:val="000000"/>
          <w:sz w:val="25"/>
          <w:szCs w:val="25"/>
        </w:rPr>
        <w:t>los</w:t>
      </w:r>
      <w:r w:rsidRPr="00B533D0">
        <w:rPr>
          <w:rFonts w:ascii="Arial" w:hAnsi="Arial" w:cs="Arial"/>
          <w:color w:val="000000"/>
          <w:sz w:val="25"/>
          <w:szCs w:val="25"/>
        </w:rPr>
        <w:t xml:space="preserve"> artículo</w:t>
      </w:r>
      <w:r>
        <w:rPr>
          <w:rFonts w:ascii="Arial" w:hAnsi="Arial" w:cs="Arial"/>
          <w:color w:val="000000"/>
          <w:sz w:val="25"/>
          <w:szCs w:val="25"/>
        </w:rPr>
        <w:t>s</w:t>
      </w:r>
      <w:r w:rsidRPr="00B533D0">
        <w:rPr>
          <w:rFonts w:ascii="Arial" w:hAnsi="Arial" w:cs="Arial"/>
          <w:color w:val="000000"/>
          <w:sz w:val="25"/>
          <w:szCs w:val="25"/>
        </w:rPr>
        <w:t xml:space="preserve"> 142</w:t>
      </w:r>
      <w:r>
        <w:rPr>
          <w:rFonts w:ascii="Arial" w:hAnsi="Arial" w:cs="Arial"/>
          <w:color w:val="000000"/>
          <w:sz w:val="25"/>
          <w:szCs w:val="25"/>
        </w:rPr>
        <w:t>,</w:t>
      </w:r>
      <w:r w:rsidRPr="00B533D0">
        <w:rPr>
          <w:rFonts w:ascii="Arial" w:hAnsi="Arial" w:cs="Arial"/>
          <w:color w:val="000000"/>
          <w:sz w:val="25"/>
          <w:szCs w:val="25"/>
        </w:rPr>
        <w:t xml:space="preserve"> fracción I, 147</w:t>
      </w:r>
      <w:r>
        <w:rPr>
          <w:rFonts w:ascii="Arial" w:hAnsi="Arial" w:cs="Arial"/>
          <w:color w:val="000000"/>
          <w:sz w:val="25"/>
          <w:szCs w:val="25"/>
        </w:rPr>
        <w:t>,</w:t>
      </w:r>
      <w:r w:rsidRPr="00B533D0">
        <w:rPr>
          <w:rFonts w:ascii="Arial" w:hAnsi="Arial" w:cs="Arial"/>
          <w:color w:val="000000"/>
          <w:sz w:val="25"/>
          <w:szCs w:val="25"/>
        </w:rPr>
        <w:t xml:space="preserve"> facción I y 163 del Reglamento Interior del Consejo de la Judicatura, </w:t>
      </w:r>
      <w:r w:rsidRPr="00FE224A">
        <w:rPr>
          <w:rFonts w:ascii="Arial" w:hAnsi="Arial" w:cs="Arial"/>
          <w:b/>
          <w:color w:val="000000"/>
          <w:sz w:val="25"/>
          <w:szCs w:val="25"/>
        </w:rPr>
        <w:t>e</w:t>
      </w:r>
      <w:r>
        <w:rPr>
          <w:rFonts w:ascii="Arial" w:hAnsi="Arial" w:cs="Arial"/>
          <w:b/>
          <w:color w:val="000000"/>
          <w:sz w:val="25"/>
          <w:szCs w:val="25"/>
        </w:rPr>
        <w:t>l Titular</w:t>
      </w:r>
      <w:r w:rsidRPr="00B533D0">
        <w:rPr>
          <w:rFonts w:ascii="Arial" w:hAnsi="Arial" w:cs="Arial"/>
          <w:color w:val="000000"/>
          <w:sz w:val="25"/>
          <w:szCs w:val="25"/>
        </w:rPr>
        <w:t xml:space="preserve">, </w:t>
      </w:r>
      <w:r>
        <w:rPr>
          <w:rFonts w:ascii="Arial" w:hAnsi="Arial" w:cs="Arial"/>
          <w:color w:val="000000"/>
          <w:sz w:val="25"/>
          <w:szCs w:val="25"/>
        </w:rPr>
        <w:t xml:space="preserve">deberá </w:t>
      </w:r>
      <w:r w:rsidRPr="00B533D0">
        <w:rPr>
          <w:rFonts w:ascii="Arial" w:hAnsi="Arial" w:cs="Arial"/>
          <w:color w:val="000000"/>
          <w:sz w:val="25"/>
          <w:szCs w:val="25"/>
        </w:rPr>
        <w:t>instru</w:t>
      </w:r>
      <w:r>
        <w:rPr>
          <w:rFonts w:ascii="Arial" w:hAnsi="Arial" w:cs="Arial"/>
          <w:color w:val="000000"/>
          <w:sz w:val="25"/>
          <w:szCs w:val="25"/>
        </w:rPr>
        <w:t>ir</w:t>
      </w:r>
      <w:r w:rsidRPr="00B533D0">
        <w:rPr>
          <w:rFonts w:ascii="Arial" w:hAnsi="Arial" w:cs="Arial"/>
          <w:color w:val="000000"/>
          <w:sz w:val="25"/>
          <w:szCs w:val="25"/>
        </w:rPr>
        <w:t xml:space="preserve"> </w:t>
      </w:r>
      <w:r>
        <w:rPr>
          <w:rFonts w:ascii="Arial" w:hAnsi="Arial" w:cs="Arial"/>
          <w:color w:val="000000"/>
          <w:sz w:val="25"/>
          <w:szCs w:val="25"/>
        </w:rPr>
        <w:t xml:space="preserve">a la actuaria del Juzgado de su adscripción para que asiente de inmediato y </w:t>
      </w:r>
      <w:r w:rsidRPr="00D1276C">
        <w:rPr>
          <w:rFonts w:ascii="Arial" w:hAnsi="Arial" w:cs="Arial"/>
          <w:sz w:val="25"/>
          <w:szCs w:val="25"/>
        </w:rPr>
        <w:t>diariamente las actuaciones y notificaciones</w:t>
      </w:r>
      <w:r>
        <w:rPr>
          <w:rFonts w:ascii="Arial" w:hAnsi="Arial" w:cs="Arial"/>
          <w:sz w:val="25"/>
          <w:szCs w:val="25"/>
        </w:rPr>
        <w:t xml:space="preserve"> que recaigan</w:t>
      </w:r>
      <w:r w:rsidRPr="00D1276C">
        <w:rPr>
          <w:rFonts w:ascii="Arial" w:hAnsi="Arial" w:cs="Arial"/>
          <w:sz w:val="25"/>
          <w:szCs w:val="25"/>
        </w:rPr>
        <w:t>,</w:t>
      </w:r>
      <w:r>
        <w:rPr>
          <w:rFonts w:ascii="Arial" w:hAnsi="Arial" w:cs="Arial"/>
          <w:sz w:val="25"/>
          <w:szCs w:val="25"/>
        </w:rPr>
        <w:t xml:space="preserve"> conforme a los rubros que contiene el libro de registro de expedientes a su cargo</w:t>
      </w:r>
      <w:r w:rsidRPr="00B533D0">
        <w:rPr>
          <w:rFonts w:ascii="Arial" w:hAnsi="Arial" w:cs="Arial"/>
          <w:color w:val="000000"/>
          <w:sz w:val="25"/>
          <w:szCs w:val="25"/>
        </w:rPr>
        <w:t xml:space="preserve">, toda vez que en el acta levantada por motivo de la </w:t>
      </w:r>
      <w:r>
        <w:rPr>
          <w:rFonts w:ascii="Arial" w:hAnsi="Arial" w:cs="Arial"/>
          <w:color w:val="000000"/>
          <w:sz w:val="25"/>
          <w:szCs w:val="25"/>
        </w:rPr>
        <w:t>p</w:t>
      </w:r>
      <w:r w:rsidRPr="00B533D0">
        <w:rPr>
          <w:rFonts w:ascii="Arial" w:hAnsi="Arial" w:cs="Arial"/>
          <w:color w:val="000000"/>
          <w:sz w:val="25"/>
          <w:szCs w:val="25"/>
        </w:rPr>
        <w:t xml:space="preserve">rimera </w:t>
      </w:r>
      <w:r>
        <w:rPr>
          <w:rFonts w:ascii="Arial" w:hAnsi="Arial" w:cs="Arial"/>
          <w:color w:val="000000"/>
          <w:sz w:val="25"/>
          <w:szCs w:val="25"/>
        </w:rPr>
        <w:t>v</w:t>
      </w:r>
      <w:r w:rsidRPr="00B533D0">
        <w:rPr>
          <w:rFonts w:ascii="Arial" w:hAnsi="Arial" w:cs="Arial"/>
          <w:color w:val="000000"/>
          <w:sz w:val="25"/>
          <w:szCs w:val="25"/>
        </w:rPr>
        <w:t xml:space="preserve">isita </w:t>
      </w:r>
      <w:r>
        <w:rPr>
          <w:rFonts w:ascii="Arial" w:hAnsi="Arial" w:cs="Arial"/>
          <w:color w:val="000000"/>
          <w:sz w:val="25"/>
          <w:szCs w:val="25"/>
        </w:rPr>
        <w:t>o</w:t>
      </w:r>
      <w:r w:rsidRPr="00B533D0">
        <w:rPr>
          <w:rFonts w:ascii="Arial" w:hAnsi="Arial" w:cs="Arial"/>
          <w:color w:val="000000"/>
          <w:sz w:val="25"/>
          <w:szCs w:val="25"/>
        </w:rPr>
        <w:t>rdinaria del presente año, se observó la omisión de la actuaria, en registrar los expedientes, desde el inicio en que se le turnan para la práctica de las diligencias, anotando la fecha del turno hasta la fecha de su devolución</w:t>
      </w:r>
      <w:r>
        <w:rPr>
          <w:rFonts w:ascii="Arial" w:hAnsi="Arial" w:cs="Arial"/>
          <w:color w:val="000000"/>
          <w:sz w:val="25"/>
          <w:szCs w:val="25"/>
        </w:rPr>
        <w:t xml:space="preserve">. </w:t>
      </w:r>
      <w:r>
        <w:rPr>
          <w:rFonts w:ascii="Arial" w:hAnsi="Arial" w:cs="Arial"/>
          <w:b/>
          <w:color w:val="000000"/>
          <w:sz w:val="25"/>
          <w:szCs w:val="25"/>
        </w:rPr>
        <w:lastRenderedPageBreak/>
        <w:t xml:space="preserve">- - - - - - - - - - - - - - - - - - - - - - - - - - - - - - </w:t>
      </w:r>
      <w:r w:rsidRPr="00B533D0">
        <w:rPr>
          <w:rFonts w:ascii="Arial" w:hAnsi="Arial" w:cs="Arial"/>
          <w:b/>
          <w:color w:val="000000"/>
          <w:sz w:val="25"/>
          <w:szCs w:val="25"/>
        </w:rPr>
        <w:t>d)</w:t>
      </w:r>
      <w:r>
        <w:rPr>
          <w:rFonts w:ascii="Arial" w:hAnsi="Arial" w:cs="Arial"/>
          <w:b/>
          <w:color w:val="000000"/>
          <w:sz w:val="25"/>
          <w:szCs w:val="25"/>
        </w:rPr>
        <w:t xml:space="preserve"> </w:t>
      </w:r>
      <w:r w:rsidRPr="00D1276C">
        <w:rPr>
          <w:rFonts w:ascii="Arial" w:hAnsi="Arial" w:cs="Arial"/>
          <w:color w:val="000000"/>
          <w:sz w:val="25"/>
          <w:szCs w:val="25"/>
        </w:rPr>
        <w:t>C</w:t>
      </w:r>
      <w:r w:rsidRPr="00B533D0">
        <w:rPr>
          <w:rFonts w:ascii="Arial" w:hAnsi="Arial" w:cs="Arial"/>
          <w:color w:val="000000"/>
          <w:sz w:val="25"/>
          <w:szCs w:val="25"/>
        </w:rPr>
        <w:t>onforme a lo dispuesto por los artículo</w:t>
      </w:r>
      <w:r>
        <w:rPr>
          <w:rFonts w:ascii="Arial" w:hAnsi="Arial" w:cs="Arial"/>
          <w:color w:val="000000"/>
          <w:sz w:val="25"/>
          <w:szCs w:val="25"/>
        </w:rPr>
        <w:t>s</w:t>
      </w:r>
      <w:r w:rsidRPr="00B533D0">
        <w:rPr>
          <w:rFonts w:ascii="Arial" w:hAnsi="Arial" w:cs="Arial"/>
          <w:color w:val="000000"/>
          <w:sz w:val="25"/>
          <w:szCs w:val="25"/>
        </w:rPr>
        <w:t xml:space="preserve"> 51</w:t>
      </w:r>
      <w:r>
        <w:rPr>
          <w:rFonts w:ascii="Arial" w:hAnsi="Arial" w:cs="Arial"/>
          <w:color w:val="000000"/>
          <w:sz w:val="25"/>
          <w:szCs w:val="25"/>
        </w:rPr>
        <w:t>,</w:t>
      </w:r>
      <w:r w:rsidRPr="00B533D0">
        <w:rPr>
          <w:rFonts w:ascii="Arial" w:hAnsi="Arial" w:cs="Arial"/>
          <w:color w:val="000000"/>
          <w:sz w:val="25"/>
          <w:szCs w:val="25"/>
        </w:rPr>
        <w:t xml:space="preserve"> fracción I de la Ley Orgánica del Poder Judicial del Estado y 142</w:t>
      </w:r>
      <w:r>
        <w:rPr>
          <w:rFonts w:ascii="Arial" w:hAnsi="Arial" w:cs="Arial"/>
          <w:color w:val="000000"/>
          <w:sz w:val="25"/>
          <w:szCs w:val="25"/>
        </w:rPr>
        <w:t>, fracción V</w:t>
      </w:r>
      <w:r w:rsidRPr="00B533D0">
        <w:rPr>
          <w:rFonts w:ascii="Arial" w:hAnsi="Arial" w:cs="Arial"/>
          <w:color w:val="000000"/>
          <w:sz w:val="25"/>
          <w:szCs w:val="25"/>
        </w:rPr>
        <w:t xml:space="preserve"> del Reglamento Interior del Consejo de la Judicatura del Poder Judicial del Estado, </w:t>
      </w:r>
      <w:r>
        <w:rPr>
          <w:rFonts w:ascii="Arial" w:hAnsi="Arial" w:cs="Arial"/>
          <w:b/>
          <w:color w:val="000000"/>
          <w:sz w:val="25"/>
          <w:szCs w:val="25"/>
        </w:rPr>
        <w:t>el Titular</w:t>
      </w:r>
      <w:r>
        <w:rPr>
          <w:rFonts w:ascii="Arial" w:hAnsi="Arial" w:cs="Arial"/>
          <w:color w:val="000000"/>
          <w:sz w:val="25"/>
          <w:szCs w:val="25"/>
        </w:rPr>
        <w:t xml:space="preserve"> deberá </w:t>
      </w:r>
      <w:r w:rsidRPr="00B533D0">
        <w:rPr>
          <w:rFonts w:ascii="Arial" w:hAnsi="Arial" w:cs="Arial"/>
          <w:color w:val="000000"/>
          <w:sz w:val="25"/>
          <w:szCs w:val="25"/>
        </w:rPr>
        <w:t>girar instrucciones al Secretario de Acuerdos a efecto de que se impulsen de oficio las causas penales que se tramitan en el Juzgado a su cargo, en cumplimiento a lo ordenado por los artículos 17 de la Constitución Política de los Estados Unidos Mexicanos y 51 del Código de Procedimientos Penales</w:t>
      </w:r>
      <w:r>
        <w:rPr>
          <w:rFonts w:ascii="Arial" w:hAnsi="Arial" w:cs="Arial"/>
          <w:color w:val="000000"/>
          <w:sz w:val="25"/>
          <w:szCs w:val="25"/>
        </w:rPr>
        <w:t xml:space="preserve"> del Estado</w:t>
      </w:r>
      <w:r w:rsidRPr="00B533D0">
        <w:rPr>
          <w:rFonts w:ascii="Arial" w:hAnsi="Arial" w:cs="Arial"/>
          <w:color w:val="000000"/>
          <w:sz w:val="25"/>
          <w:szCs w:val="25"/>
        </w:rPr>
        <w:t xml:space="preserve">; en virtud de haberse observado en el acta levantada de la </w:t>
      </w:r>
      <w:r>
        <w:rPr>
          <w:rFonts w:ascii="Arial" w:hAnsi="Arial" w:cs="Arial"/>
          <w:color w:val="000000"/>
          <w:sz w:val="25"/>
          <w:szCs w:val="25"/>
        </w:rPr>
        <w:t>p</w:t>
      </w:r>
      <w:r w:rsidRPr="00B533D0">
        <w:rPr>
          <w:rFonts w:ascii="Arial" w:hAnsi="Arial" w:cs="Arial"/>
          <w:color w:val="000000"/>
          <w:sz w:val="25"/>
          <w:szCs w:val="25"/>
        </w:rPr>
        <w:t xml:space="preserve">rimera </w:t>
      </w:r>
      <w:r>
        <w:rPr>
          <w:rFonts w:ascii="Arial" w:hAnsi="Arial" w:cs="Arial"/>
          <w:color w:val="000000"/>
          <w:sz w:val="25"/>
          <w:szCs w:val="25"/>
        </w:rPr>
        <w:t>v</w:t>
      </w:r>
      <w:r w:rsidRPr="00B533D0">
        <w:rPr>
          <w:rFonts w:ascii="Arial" w:hAnsi="Arial" w:cs="Arial"/>
          <w:color w:val="000000"/>
          <w:sz w:val="25"/>
          <w:szCs w:val="25"/>
        </w:rPr>
        <w:t xml:space="preserve">isita </w:t>
      </w:r>
      <w:r>
        <w:rPr>
          <w:rFonts w:ascii="Arial" w:hAnsi="Arial" w:cs="Arial"/>
          <w:color w:val="000000"/>
          <w:sz w:val="25"/>
          <w:szCs w:val="25"/>
        </w:rPr>
        <w:t>o</w:t>
      </w:r>
      <w:r w:rsidRPr="00B533D0">
        <w:rPr>
          <w:rFonts w:ascii="Arial" w:hAnsi="Arial" w:cs="Arial"/>
          <w:color w:val="000000"/>
          <w:sz w:val="25"/>
          <w:szCs w:val="25"/>
        </w:rPr>
        <w:t>rdinaria de Inspección del presente año al juzgado de su adscripción, que en los procesos 106/2013 (sin detenido)</w:t>
      </w:r>
      <w:r>
        <w:rPr>
          <w:rFonts w:ascii="Arial" w:hAnsi="Arial" w:cs="Arial"/>
          <w:color w:val="000000"/>
          <w:sz w:val="25"/>
          <w:szCs w:val="25"/>
        </w:rPr>
        <w:t xml:space="preserve"> que se instruye por el delito de</w:t>
      </w:r>
      <w:r w:rsidRPr="00B533D0">
        <w:rPr>
          <w:rFonts w:ascii="Arial" w:hAnsi="Arial" w:cs="Arial"/>
          <w:color w:val="000000"/>
          <w:sz w:val="25"/>
          <w:szCs w:val="25"/>
        </w:rPr>
        <w:t xml:space="preserve"> Homicidio</w:t>
      </w:r>
      <w:r>
        <w:rPr>
          <w:rFonts w:ascii="Arial" w:hAnsi="Arial" w:cs="Arial"/>
          <w:color w:val="000000"/>
          <w:sz w:val="25"/>
          <w:szCs w:val="25"/>
        </w:rPr>
        <w:t>;</w:t>
      </w:r>
      <w:r w:rsidRPr="00B533D0">
        <w:rPr>
          <w:rFonts w:ascii="Arial" w:hAnsi="Arial" w:cs="Arial"/>
          <w:color w:val="000000"/>
          <w:sz w:val="25"/>
          <w:szCs w:val="25"/>
        </w:rPr>
        <w:t xml:space="preserve"> 60/2014 (sin detenido)</w:t>
      </w:r>
      <w:r>
        <w:rPr>
          <w:rFonts w:ascii="Arial" w:hAnsi="Arial" w:cs="Arial"/>
          <w:color w:val="000000"/>
          <w:sz w:val="25"/>
          <w:szCs w:val="25"/>
        </w:rPr>
        <w:t>, que se instruye por el delito de</w:t>
      </w:r>
      <w:r w:rsidRPr="00B533D0">
        <w:rPr>
          <w:rFonts w:ascii="Arial" w:hAnsi="Arial" w:cs="Arial"/>
          <w:color w:val="000000"/>
          <w:sz w:val="25"/>
          <w:szCs w:val="25"/>
        </w:rPr>
        <w:t xml:space="preserve"> Homicidio en </w:t>
      </w:r>
      <w:r>
        <w:rPr>
          <w:rFonts w:ascii="Arial" w:hAnsi="Arial" w:cs="Arial"/>
          <w:color w:val="000000"/>
          <w:sz w:val="25"/>
          <w:szCs w:val="25"/>
        </w:rPr>
        <w:t>R</w:t>
      </w:r>
      <w:r w:rsidRPr="00B533D0">
        <w:rPr>
          <w:rFonts w:ascii="Arial" w:hAnsi="Arial" w:cs="Arial"/>
          <w:color w:val="000000"/>
          <w:sz w:val="25"/>
          <w:szCs w:val="25"/>
        </w:rPr>
        <w:t>iña</w:t>
      </w:r>
      <w:r>
        <w:rPr>
          <w:rFonts w:ascii="Arial" w:hAnsi="Arial" w:cs="Arial"/>
          <w:color w:val="000000"/>
          <w:sz w:val="25"/>
          <w:szCs w:val="25"/>
        </w:rPr>
        <w:t xml:space="preserve">; </w:t>
      </w:r>
      <w:r w:rsidRPr="00B533D0">
        <w:rPr>
          <w:rFonts w:ascii="Arial" w:hAnsi="Arial" w:cs="Arial"/>
          <w:color w:val="000000"/>
          <w:sz w:val="25"/>
          <w:szCs w:val="25"/>
        </w:rPr>
        <w:t>165/2013</w:t>
      </w:r>
      <w:r>
        <w:rPr>
          <w:rFonts w:ascii="Arial" w:hAnsi="Arial" w:cs="Arial"/>
          <w:color w:val="000000"/>
          <w:sz w:val="25"/>
          <w:szCs w:val="25"/>
        </w:rPr>
        <w:t xml:space="preserve"> </w:t>
      </w:r>
      <w:r w:rsidRPr="00B533D0">
        <w:rPr>
          <w:rFonts w:ascii="Arial" w:hAnsi="Arial" w:cs="Arial"/>
          <w:color w:val="000000"/>
          <w:sz w:val="25"/>
          <w:szCs w:val="25"/>
        </w:rPr>
        <w:t>(con detenido)</w:t>
      </w:r>
      <w:r>
        <w:rPr>
          <w:rFonts w:ascii="Arial" w:hAnsi="Arial" w:cs="Arial"/>
          <w:color w:val="000000"/>
          <w:sz w:val="25"/>
          <w:szCs w:val="25"/>
        </w:rPr>
        <w:t xml:space="preserve">, que se instruye por el delito de </w:t>
      </w:r>
      <w:r w:rsidRPr="00B533D0">
        <w:rPr>
          <w:rFonts w:ascii="Arial" w:hAnsi="Arial" w:cs="Arial"/>
          <w:color w:val="000000"/>
          <w:sz w:val="25"/>
          <w:szCs w:val="25"/>
        </w:rPr>
        <w:t>Violación</w:t>
      </w:r>
      <w:r>
        <w:rPr>
          <w:rFonts w:ascii="Arial" w:hAnsi="Arial" w:cs="Arial"/>
          <w:color w:val="000000"/>
          <w:sz w:val="25"/>
          <w:szCs w:val="25"/>
        </w:rPr>
        <w:t xml:space="preserve">; </w:t>
      </w:r>
      <w:r w:rsidRPr="00B533D0">
        <w:rPr>
          <w:rFonts w:ascii="Arial" w:hAnsi="Arial" w:cs="Arial"/>
          <w:color w:val="000000"/>
          <w:sz w:val="25"/>
          <w:szCs w:val="25"/>
        </w:rPr>
        <w:t>12/2012 (con detenido)</w:t>
      </w:r>
      <w:r>
        <w:rPr>
          <w:rFonts w:ascii="Arial" w:hAnsi="Arial" w:cs="Arial"/>
          <w:color w:val="000000"/>
          <w:sz w:val="25"/>
          <w:szCs w:val="25"/>
        </w:rPr>
        <w:t>, que se instruye por el delito de</w:t>
      </w:r>
      <w:r w:rsidRPr="00B533D0">
        <w:rPr>
          <w:rFonts w:ascii="Arial" w:hAnsi="Arial" w:cs="Arial"/>
          <w:color w:val="000000"/>
          <w:sz w:val="25"/>
          <w:szCs w:val="25"/>
        </w:rPr>
        <w:t xml:space="preserve"> Secuestro </w:t>
      </w:r>
      <w:r>
        <w:rPr>
          <w:rFonts w:ascii="Arial" w:hAnsi="Arial" w:cs="Arial"/>
          <w:color w:val="000000"/>
          <w:sz w:val="25"/>
          <w:szCs w:val="25"/>
        </w:rPr>
        <w:t>A</w:t>
      </w:r>
      <w:r w:rsidRPr="00B533D0">
        <w:rPr>
          <w:rFonts w:ascii="Arial" w:hAnsi="Arial" w:cs="Arial"/>
          <w:color w:val="000000"/>
          <w:sz w:val="25"/>
          <w:szCs w:val="25"/>
        </w:rPr>
        <w:t>gravado y Robo calificado</w:t>
      </w:r>
      <w:r>
        <w:rPr>
          <w:rFonts w:ascii="Arial" w:hAnsi="Arial" w:cs="Arial"/>
          <w:color w:val="000000"/>
          <w:sz w:val="25"/>
          <w:szCs w:val="25"/>
        </w:rPr>
        <w:t xml:space="preserve">; </w:t>
      </w:r>
      <w:r w:rsidRPr="00B533D0">
        <w:rPr>
          <w:rFonts w:ascii="Arial" w:hAnsi="Arial" w:cs="Arial"/>
          <w:color w:val="000000"/>
          <w:sz w:val="25"/>
          <w:szCs w:val="25"/>
        </w:rPr>
        <w:t>y</w:t>
      </w:r>
      <w:r>
        <w:rPr>
          <w:rFonts w:ascii="Arial" w:hAnsi="Arial" w:cs="Arial"/>
          <w:color w:val="000000"/>
          <w:sz w:val="25"/>
          <w:szCs w:val="25"/>
        </w:rPr>
        <w:t>,</w:t>
      </w:r>
      <w:r w:rsidRPr="00B533D0">
        <w:rPr>
          <w:rFonts w:ascii="Arial" w:hAnsi="Arial" w:cs="Arial"/>
          <w:color w:val="000000"/>
          <w:sz w:val="25"/>
          <w:szCs w:val="25"/>
        </w:rPr>
        <w:t xml:space="preserve"> 264/2007 (con detenido)</w:t>
      </w:r>
      <w:r>
        <w:rPr>
          <w:rFonts w:ascii="Arial" w:hAnsi="Arial" w:cs="Arial"/>
          <w:color w:val="000000"/>
          <w:sz w:val="25"/>
          <w:szCs w:val="25"/>
        </w:rPr>
        <w:t>, que se instruye por el delito de</w:t>
      </w:r>
      <w:r w:rsidRPr="00B533D0">
        <w:rPr>
          <w:rFonts w:ascii="Arial" w:hAnsi="Arial" w:cs="Arial"/>
          <w:color w:val="000000"/>
          <w:sz w:val="25"/>
          <w:szCs w:val="25"/>
        </w:rPr>
        <w:t xml:space="preserve"> Homicidio calificado y Homicidio calificado en grado de tentativa, contaban con una inactividad procesal de entre 5 y 6 meses, no obstante de que algunos de ellos se encuentran en prisión preventiva, y la falta de impulso en el procedimiento vulnera las garantías de los procesado</w:t>
      </w:r>
      <w:r>
        <w:rPr>
          <w:rFonts w:ascii="Arial" w:hAnsi="Arial" w:cs="Arial"/>
          <w:color w:val="000000"/>
          <w:sz w:val="25"/>
          <w:szCs w:val="25"/>
        </w:rPr>
        <w:t>s</w:t>
      </w:r>
      <w:r w:rsidRPr="00D1276C">
        <w:rPr>
          <w:rFonts w:ascii="Arial" w:hAnsi="Arial" w:cs="Arial"/>
          <w:b/>
          <w:color w:val="000000"/>
          <w:sz w:val="25"/>
          <w:szCs w:val="25"/>
        </w:rPr>
        <w:t>. - - -</w:t>
      </w:r>
      <w:r>
        <w:rPr>
          <w:rFonts w:ascii="Arial" w:hAnsi="Arial" w:cs="Arial"/>
          <w:color w:val="000000"/>
          <w:sz w:val="25"/>
          <w:szCs w:val="25"/>
        </w:rPr>
        <w:t xml:space="preserve"> </w:t>
      </w:r>
      <w:r>
        <w:rPr>
          <w:rFonts w:ascii="Arial" w:hAnsi="Arial" w:cs="Arial"/>
          <w:b/>
          <w:color w:val="000000"/>
          <w:sz w:val="25"/>
          <w:szCs w:val="25"/>
        </w:rPr>
        <w:t xml:space="preserve">- - - - - - - - - - - - - - - - - - - - - - - - - </w:t>
      </w:r>
    </w:p>
    <w:p w:rsidR="009A44F9" w:rsidRDefault="009A44F9" w:rsidP="009A44F9">
      <w:pPr>
        <w:tabs>
          <w:tab w:val="center" w:pos="4250"/>
          <w:tab w:val="left" w:pos="7430"/>
        </w:tabs>
        <w:spacing w:line="360" w:lineRule="auto"/>
        <w:jc w:val="both"/>
        <w:rPr>
          <w:rFonts w:ascii="Arial" w:hAnsi="Arial" w:cs="Arial"/>
          <w:b/>
          <w:color w:val="000000"/>
          <w:sz w:val="25"/>
          <w:szCs w:val="25"/>
        </w:rPr>
      </w:pPr>
      <w:r>
        <w:rPr>
          <w:rFonts w:ascii="Arial" w:hAnsi="Arial" w:cs="Arial"/>
          <w:b/>
          <w:color w:val="000000"/>
          <w:sz w:val="25"/>
          <w:szCs w:val="25"/>
        </w:rPr>
        <w:t xml:space="preserve">e) </w:t>
      </w:r>
      <w:r w:rsidRPr="00D1276C">
        <w:rPr>
          <w:rFonts w:ascii="Arial" w:hAnsi="Arial" w:cs="Arial"/>
          <w:color w:val="000000"/>
          <w:sz w:val="25"/>
          <w:szCs w:val="25"/>
        </w:rPr>
        <w:t>C</w:t>
      </w:r>
      <w:r w:rsidRPr="00B533D0">
        <w:rPr>
          <w:rFonts w:ascii="Arial" w:hAnsi="Arial" w:cs="Arial"/>
          <w:color w:val="000000"/>
          <w:sz w:val="25"/>
          <w:szCs w:val="25"/>
        </w:rPr>
        <w:t xml:space="preserve">on fundamento en lo dispuesto por la fracción X del artículo 144 del Reglamento Interior del Consejo de la Judicatura, </w:t>
      </w:r>
      <w:r w:rsidRPr="006F542A">
        <w:rPr>
          <w:rFonts w:ascii="Arial" w:hAnsi="Arial" w:cs="Arial"/>
          <w:b/>
          <w:color w:val="000000"/>
          <w:sz w:val="25"/>
          <w:szCs w:val="25"/>
        </w:rPr>
        <w:t>el</w:t>
      </w:r>
      <w:r w:rsidRPr="00BE302E">
        <w:rPr>
          <w:rFonts w:ascii="Arial" w:hAnsi="Arial" w:cs="Arial"/>
          <w:b/>
          <w:color w:val="000000"/>
          <w:sz w:val="25"/>
          <w:szCs w:val="25"/>
        </w:rPr>
        <w:t xml:space="preserve"> Secretario de Acuerdos</w:t>
      </w:r>
      <w:r>
        <w:rPr>
          <w:rFonts w:ascii="Arial" w:hAnsi="Arial" w:cs="Arial"/>
          <w:color w:val="000000"/>
          <w:sz w:val="25"/>
          <w:szCs w:val="25"/>
        </w:rPr>
        <w:t xml:space="preserve"> deberá supervisar</w:t>
      </w:r>
      <w:r w:rsidRPr="00B533D0">
        <w:rPr>
          <w:rFonts w:ascii="Arial" w:hAnsi="Arial" w:cs="Arial"/>
          <w:color w:val="000000"/>
          <w:sz w:val="25"/>
          <w:szCs w:val="25"/>
        </w:rPr>
        <w:t xml:space="preserve"> que el préstamo de procesos y/o averiguaciones, se efectúe mediante las boletas a que se refiere el artículo 190 del Reglamento antes mencionado, </w:t>
      </w:r>
      <w:r>
        <w:rPr>
          <w:rFonts w:ascii="Arial" w:hAnsi="Arial" w:cs="Arial"/>
          <w:color w:val="000000"/>
          <w:sz w:val="25"/>
          <w:szCs w:val="25"/>
        </w:rPr>
        <w:t>habida cuenta que</w:t>
      </w:r>
      <w:r w:rsidRPr="00B533D0">
        <w:rPr>
          <w:rFonts w:ascii="Arial" w:hAnsi="Arial" w:cs="Arial"/>
          <w:color w:val="000000"/>
          <w:sz w:val="25"/>
          <w:szCs w:val="25"/>
        </w:rPr>
        <w:t xml:space="preserve"> durante la </w:t>
      </w:r>
      <w:r>
        <w:rPr>
          <w:rFonts w:ascii="Arial" w:hAnsi="Arial" w:cs="Arial"/>
          <w:color w:val="000000"/>
          <w:sz w:val="25"/>
          <w:szCs w:val="25"/>
        </w:rPr>
        <w:t>p</w:t>
      </w:r>
      <w:r w:rsidRPr="00B533D0">
        <w:rPr>
          <w:rFonts w:ascii="Arial" w:hAnsi="Arial" w:cs="Arial"/>
          <w:color w:val="000000"/>
          <w:sz w:val="25"/>
          <w:szCs w:val="25"/>
        </w:rPr>
        <w:t xml:space="preserve">rimera </w:t>
      </w:r>
      <w:r>
        <w:rPr>
          <w:rFonts w:ascii="Arial" w:hAnsi="Arial" w:cs="Arial"/>
          <w:color w:val="000000"/>
          <w:sz w:val="25"/>
          <w:szCs w:val="25"/>
        </w:rPr>
        <w:t>visita</w:t>
      </w:r>
      <w:r w:rsidRPr="00B533D0">
        <w:rPr>
          <w:rFonts w:ascii="Arial" w:hAnsi="Arial" w:cs="Arial"/>
          <w:color w:val="000000"/>
          <w:sz w:val="25"/>
          <w:szCs w:val="25"/>
        </w:rPr>
        <w:t xml:space="preserve"> del presente año al Juzgado de su adscripción, se observó que no se utiliza el llenado de </w:t>
      </w:r>
      <w:r>
        <w:rPr>
          <w:rFonts w:ascii="Arial" w:hAnsi="Arial" w:cs="Arial"/>
          <w:color w:val="000000"/>
          <w:sz w:val="25"/>
          <w:szCs w:val="25"/>
        </w:rPr>
        <w:t>éstas</w:t>
      </w:r>
      <w:r w:rsidRPr="00B533D0">
        <w:rPr>
          <w:rFonts w:ascii="Arial" w:hAnsi="Arial" w:cs="Arial"/>
          <w:color w:val="000000"/>
          <w:sz w:val="25"/>
          <w:szCs w:val="25"/>
        </w:rPr>
        <w:t xml:space="preserve">, </w:t>
      </w:r>
      <w:r>
        <w:rPr>
          <w:rFonts w:ascii="Arial" w:hAnsi="Arial" w:cs="Arial"/>
          <w:color w:val="000000"/>
          <w:sz w:val="25"/>
          <w:szCs w:val="25"/>
        </w:rPr>
        <w:t xml:space="preserve">no obstante que el cumplimiento de esta obligación </w:t>
      </w:r>
      <w:r w:rsidRPr="00B533D0">
        <w:rPr>
          <w:rFonts w:ascii="Arial" w:hAnsi="Arial" w:cs="Arial"/>
          <w:color w:val="000000"/>
          <w:sz w:val="25"/>
          <w:szCs w:val="25"/>
        </w:rPr>
        <w:t>es de suma importancia para el caso de los supuestos a que se refiere el artículo 191 del mismo Reglamento, lo anterior es visible a fojas 5</w:t>
      </w:r>
      <w:r>
        <w:rPr>
          <w:rFonts w:ascii="Arial" w:hAnsi="Arial" w:cs="Arial"/>
          <w:color w:val="000000"/>
          <w:sz w:val="25"/>
          <w:szCs w:val="25"/>
        </w:rPr>
        <w:t xml:space="preserve"> cinco</w:t>
      </w:r>
      <w:r w:rsidRPr="00B533D0">
        <w:rPr>
          <w:rFonts w:ascii="Arial" w:hAnsi="Arial" w:cs="Arial"/>
          <w:color w:val="000000"/>
          <w:sz w:val="25"/>
          <w:szCs w:val="25"/>
        </w:rPr>
        <w:t xml:space="preserve"> del acta de visita que obra en el Juzgado. </w:t>
      </w:r>
      <w:r>
        <w:rPr>
          <w:rFonts w:ascii="Arial" w:hAnsi="Arial" w:cs="Arial"/>
          <w:b/>
          <w:color w:val="000000"/>
          <w:sz w:val="25"/>
          <w:szCs w:val="25"/>
        </w:rPr>
        <w:t xml:space="preserve">- - - </w:t>
      </w:r>
    </w:p>
    <w:p w:rsidR="006C6FE3" w:rsidRDefault="009A44F9" w:rsidP="009A44F9">
      <w:pPr>
        <w:tabs>
          <w:tab w:val="center" w:pos="4250"/>
          <w:tab w:val="left" w:pos="7430"/>
        </w:tabs>
        <w:spacing w:line="360" w:lineRule="auto"/>
        <w:jc w:val="both"/>
        <w:rPr>
          <w:rFonts w:ascii="Arial" w:hAnsi="Arial" w:cs="Arial"/>
          <w:color w:val="000000"/>
          <w:sz w:val="25"/>
          <w:szCs w:val="25"/>
        </w:rPr>
      </w:pPr>
      <w:r w:rsidRPr="002E06E9">
        <w:rPr>
          <w:rFonts w:ascii="Arial" w:hAnsi="Arial" w:cs="Arial"/>
          <w:b/>
          <w:color w:val="000000"/>
          <w:sz w:val="25"/>
          <w:szCs w:val="25"/>
        </w:rPr>
        <w:lastRenderedPageBreak/>
        <w:t>f)</w:t>
      </w:r>
      <w:r>
        <w:rPr>
          <w:rFonts w:ascii="Arial" w:hAnsi="Arial" w:cs="Arial"/>
          <w:b/>
          <w:color w:val="000000"/>
          <w:sz w:val="25"/>
          <w:szCs w:val="25"/>
        </w:rPr>
        <w:t xml:space="preserve"> </w:t>
      </w:r>
      <w:r w:rsidRPr="00BE302E">
        <w:rPr>
          <w:rFonts w:ascii="Arial" w:hAnsi="Arial" w:cs="Arial"/>
          <w:color w:val="000000"/>
          <w:sz w:val="25"/>
          <w:szCs w:val="25"/>
        </w:rPr>
        <w:t>C</w:t>
      </w:r>
      <w:r w:rsidRPr="00B533D0">
        <w:rPr>
          <w:rFonts w:ascii="Arial" w:hAnsi="Arial" w:cs="Arial"/>
          <w:color w:val="000000"/>
          <w:sz w:val="25"/>
          <w:szCs w:val="25"/>
        </w:rPr>
        <w:t>on fundamento en lo dispuesto por los artículos 144</w:t>
      </w:r>
      <w:r>
        <w:rPr>
          <w:rFonts w:ascii="Arial" w:hAnsi="Arial" w:cs="Arial"/>
          <w:color w:val="000000"/>
          <w:sz w:val="25"/>
          <w:szCs w:val="25"/>
        </w:rPr>
        <w:t>,</w:t>
      </w:r>
      <w:r w:rsidRPr="00B533D0">
        <w:rPr>
          <w:rFonts w:ascii="Arial" w:hAnsi="Arial" w:cs="Arial"/>
          <w:color w:val="000000"/>
          <w:sz w:val="25"/>
          <w:szCs w:val="25"/>
        </w:rPr>
        <w:t xml:space="preserve"> fracción IV, 163, 166</w:t>
      </w:r>
      <w:r>
        <w:rPr>
          <w:rFonts w:ascii="Arial" w:hAnsi="Arial" w:cs="Arial"/>
          <w:color w:val="000000"/>
          <w:sz w:val="25"/>
          <w:szCs w:val="25"/>
        </w:rPr>
        <w:t>,</w:t>
      </w:r>
      <w:r w:rsidRPr="00B533D0">
        <w:rPr>
          <w:rFonts w:ascii="Arial" w:hAnsi="Arial" w:cs="Arial"/>
          <w:color w:val="000000"/>
          <w:sz w:val="25"/>
          <w:szCs w:val="25"/>
        </w:rPr>
        <w:t xml:space="preserve"> fracción IX y 173 </w:t>
      </w:r>
      <w:r>
        <w:rPr>
          <w:rFonts w:ascii="Arial" w:hAnsi="Arial" w:cs="Arial"/>
          <w:color w:val="000000"/>
          <w:sz w:val="25"/>
          <w:szCs w:val="25"/>
        </w:rPr>
        <w:t xml:space="preserve">del </w:t>
      </w:r>
      <w:r w:rsidRPr="00B533D0">
        <w:rPr>
          <w:rFonts w:ascii="Arial" w:hAnsi="Arial" w:cs="Arial"/>
          <w:color w:val="000000"/>
          <w:sz w:val="25"/>
          <w:szCs w:val="25"/>
        </w:rPr>
        <w:t xml:space="preserve">Reglamento Interior del Consejo de la Judicatura del Poder Judicial del Estado, </w:t>
      </w:r>
      <w:r>
        <w:rPr>
          <w:rFonts w:ascii="Arial" w:hAnsi="Arial" w:cs="Arial"/>
          <w:b/>
          <w:color w:val="000000"/>
          <w:sz w:val="25"/>
          <w:szCs w:val="25"/>
        </w:rPr>
        <w:t>el</w:t>
      </w:r>
      <w:r w:rsidRPr="00BE302E">
        <w:rPr>
          <w:rFonts w:ascii="Arial" w:hAnsi="Arial" w:cs="Arial"/>
          <w:b/>
          <w:color w:val="000000"/>
          <w:sz w:val="25"/>
          <w:szCs w:val="25"/>
        </w:rPr>
        <w:t xml:space="preserve"> Secretario de Acuerdos</w:t>
      </w:r>
      <w:r>
        <w:rPr>
          <w:rFonts w:ascii="Arial" w:hAnsi="Arial" w:cs="Arial"/>
          <w:color w:val="000000"/>
          <w:sz w:val="25"/>
          <w:szCs w:val="25"/>
        </w:rPr>
        <w:t xml:space="preserve"> deberá </w:t>
      </w:r>
      <w:r w:rsidRPr="00B533D0">
        <w:rPr>
          <w:rFonts w:ascii="Arial" w:hAnsi="Arial" w:cs="Arial"/>
          <w:color w:val="000000"/>
          <w:sz w:val="25"/>
          <w:szCs w:val="25"/>
        </w:rPr>
        <w:t>vigilar que los libros</w:t>
      </w:r>
      <w:r w:rsidRPr="00B533D0">
        <w:rPr>
          <w:rFonts w:ascii="Arial" w:hAnsi="Arial" w:cs="Arial"/>
          <w:color w:val="000000"/>
          <w:sz w:val="25"/>
          <w:szCs w:val="25"/>
          <w:lang w:val="es-ES"/>
        </w:rPr>
        <w:t xml:space="preserve"> </w:t>
      </w:r>
      <w:r w:rsidRPr="00B533D0">
        <w:rPr>
          <w:rFonts w:ascii="Arial" w:hAnsi="Arial" w:cs="Arial"/>
          <w:color w:val="000000"/>
          <w:sz w:val="25"/>
          <w:szCs w:val="25"/>
        </w:rPr>
        <w:t xml:space="preserve">de registro se encuentren actualizados y con las formalidades a que se refiere el segundo precepto legal antes invocado, toda vez de que durante la Primera Visita del presente año, se observó que el libro de exhortos recibidos no se encontraba actualizado y el libro de promociones no mencionaba el rubro de las columnas, </w:t>
      </w:r>
      <w:r w:rsidRPr="00B533D0">
        <w:rPr>
          <w:rFonts w:ascii="Arial" w:hAnsi="Arial" w:cs="Arial"/>
          <w:color w:val="000000"/>
          <w:sz w:val="25"/>
          <w:szCs w:val="25"/>
          <w:lang w:val="es-ES_tradnl"/>
        </w:rPr>
        <w:t>situación</w:t>
      </w:r>
      <w:r w:rsidRPr="00B533D0">
        <w:rPr>
          <w:rFonts w:ascii="Arial" w:hAnsi="Arial" w:cs="Arial"/>
          <w:color w:val="000000"/>
          <w:sz w:val="25"/>
          <w:szCs w:val="25"/>
        </w:rPr>
        <w:t xml:space="preserve"> visible a fojas 7, 8, 10 y 11 del acta de visita que obra en poder del Juzgado.</w:t>
      </w:r>
      <w:r>
        <w:rPr>
          <w:rFonts w:ascii="Arial" w:hAnsi="Arial" w:cs="Arial"/>
          <w:color w:val="000000"/>
          <w:sz w:val="25"/>
          <w:szCs w:val="25"/>
        </w:rPr>
        <w:t xml:space="preserve"> </w:t>
      </w:r>
      <w:r w:rsidRPr="007265AE">
        <w:rPr>
          <w:rFonts w:ascii="Arial" w:hAnsi="Arial" w:cs="Arial"/>
          <w:b/>
          <w:color w:val="000000"/>
          <w:sz w:val="25"/>
          <w:szCs w:val="25"/>
        </w:rPr>
        <w:t xml:space="preserve">- - - - - - - - - - - - - - - - </w:t>
      </w:r>
      <w:r w:rsidRPr="006C6FE3">
        <w:rPr>
          <w:rFonts w:ascii="Arial" w:hAnsi="Arial" w:cs="Arial"/>
          <w:b/>
          <w:color w:val="000000"/>
          <w:sz w:val="25"/>
          <w:szCs w:val="25"/>
        </w:rPr>
        <w:t xml:space="preserve">- </w:t>
      </w:r>
      <w:r w:rsidR="006C6FE3" w:rsidRPr="006C6FE3">
        <w:rPr>
          <w:rFonts w:ascii="Arial" w:hAnsi="Arial" w:cs="Arial"/>
          <w:b/>
          <w:color w:val="000000"/>
          <w:sz w:val="25"/>
          <w:szCs w:val="25"/>
        </w:rPr>
        <w:t>- - - - - - - - - - - - - - - - - - - - - - - - - - -</w:t>
      </w:r>
      <w:r w:rsidR="006C6FE3">
        <w:rPr>
          <w:rFonts w:ascii="Arial" w:hAnsi="Arial" w:cs="Arial"/>
          <w:color w:val="000000"/>
          <w:sz w:val="25"/>
          <w:szCs w:val="25"/>
        </w:rPr>
        <w:t xml:space="preserve"> </w:t>
      </w:r>
      <w:r>
        <w:rPr>
          <w:rFonts w:ascii="Arial" w:hAnsi="Arial" w:cs="Arial"/>
          <w:b/>
          <w:color w:val="000000"/>
          <w:sz w:val="25"/>
          <w:szCs w:val="25"/>
        </w:rPr>
        <w:t>d)</w:t>
      </w:r>
      <w:r w:rsidRPr="00B533D0">
        <w:rPr>
          <w:rFonts w:ascii="Arial" w:hAnsi="Arial" w:cs="Arial"/>
          <w:color w:val="000000"/>
          <w:sz w:val="25"/>
          <w:szCs w:val="25"/>
        </w:rPr>
        <w:t xml:space="preserve"> Con fundamento en lo dispuesto por los artículos 74</w:t>
      </w:r>
      <w:r>
        <w:rPr>
          <w:rFonts w:ascii="Arial" w:hAnsi="Arial" w:cs="Arial"/>
          <w:color w:val="000000"/>
          <w:sz w:val="25"/>
          <w:szCs w:val="25"/>
        </w:rPr>
        <w:t>, fracciones II</w:t>
      </w:r>
      <w:r w:rsidRPr="00B533D0">
        <w:rPr>
          <w:rFonts w:ascii="Arial" w:hAnsi="Arial" w:cs="Arial"/>
          <w:color w:val="000000"/>
          <w:sz w:val="25"/>
          <w:szCs w:val="25"/>
        </w:rPr>
        <w:t xml:space="preserve"> y XV de la Ley Orgánica del Poder Judicial del Estado y 144</w:t>
      </w:r>
      <w:r>
        <w:rPr>
          <w:rFonts w:ascii="Arial" w:hAnsi="Arial" w:cs="Arial"/>
          <w:color w:val="000000"/>
          <w:sz w:val="25"/>
          <w:szCs w:val="25"/>
        </w:rPr>
        <w:t>,</w:t>
      </w:r>
      <w:r w:rsidRPr="00B533D0">
        <w:rPr>
          <w:rFonts w:ascii="Arial" w:hAnsi="Arial" w:cs="Arial"/>
          <w:color w:val="000000"/>
          <w:sz w:val="25"/>
          <w:szCs w:val="25"/>
        </w:rPr>
        <w:t xml:space="preserve"> fracción XX del Reglamento Interior del Consejo de la Judicatura del Poder Judicial del Estado, </w:t>
      </w:r>
      <w:r>
        <w:rPr>
          <w:rFonts w:ascii="Arial" w:hAnsi="Arial" w:cs="Arial"/>
          <w:color w:val="000000"/>
          <w:sz w:val="25"/>
          <w:szCs w:val="25"/>
        </w:rPr>
        <w:t xml:space="preserve">se instruye al </w:t>
      </w:r>
      <w:r>
        <w:rPr>
          <w:rFonts w:ascii="Arial" w:hAnsi="Arial" w:cs="Arial"/>
          <w:b/>
          <w:color w:val="000000"/>
          <w:sz w:val="25"/>
          <w:szCs w:val="25"/>
        </w:rPr>
        <w:t xml:space="preserve"> Secretario de Acuerdos</w:t>
      </w:r>
      <w:r>
        <w:rPr>
          <w:rFonts w:ascii="Arial" w:hAnsi="Arial" w:cs="Arial"/>
          <w:color w:val="000000"/>
          <w:sz w:val="25"/>
          <w:szCs w:val="25"/>
        </w:rPr>
        <w:t xml:space="preserve"> para que tome </w:t>
      </w:r>
      <w:r w:rsidRPr="00B533D0">
        <w:rPr>
          <w:rFonts w:ascii="Arial" w:hAnsi="Arial" w:cs="Arial"/>
          <w:color w:val="000000"/>
          <w:sz w:val="25"/>
          <w:szCs w:val="25"/>
        </w:rPr>
        <w:t>las medidas necesarias y d</w:t>
      </w:r>
      <w:r>
        <w:rPr>
          <w:rFonts w:ascii="Arial" w:hAnsi="Arial" w:cs="Arial"/>
          <w:color w:val="000000"/>
          <w:sz w:val="25"/>
          <w:szCs w:val="25"/>
        </w:rPr>
        <w:t>e</w:t>
      </w:r>
      <w:r w:rsidRPr="00B533D0">
        <w:rPr>
          <w:rFonts w:ascii="Arial" w:hAnsi="Arial" w:cs="Arial"/>
          <w:color w:val="000000"/>
          <w:sz w:val="25"/>
          <w:szCs w:val="25"/>
        </w:rPr>
        <w:t xml:space="preserve"> cuenta al Titular, a efecto de que se impulsen de oficio las causas penales que se tramitan en el juzgado de su adscripción, en cumplimiento a lo ordenado por los artículos 17 de la Constitución Política de los Estados Unidos Mexicanos y 51 </w:t>
      </w:r>
      <w:r>
        <w:rPr>
          <w:rFonts w:ascii="Arial" w:hAnsi="Arial" w:cs="Arial"/>
          <w:color w:val="000000"/>
          <w:sz w:val="25"/>
          <w:szCs w:val="25"/>
        </w:rPr>
        <w:t>del Código de Procedimientos Penales del Estado; en virtud de haberse observado en el acta levantada de la primera visita ordinaria de Inspección del presente año al juzgado de su adscripción, que en los procesos 106/2013 (sin detenido) que se instruye por el delito de Homicidio; 60/2014 (sin detenido), que se instruye por el delito de Homicidio en Riña; 165/2013 (con detenido), que se instruye por el delito de Violación; 12/2012 (con detenido), que se instruye por el delito de Secuestro Agravado y Robo calificado; y, 264/2007 (con detenido), que se instruye por el delito de Homicidio calificado y Homicidio calificado en grado de tentativa, contaban con una inactividad procesal de entre 5 y 6 meses, no obstante de que algunos de ellos se encuentran en prisión preventiva, y la falta de impulso en el procedimiento vulnera las garantías de los procesados</w:t>
      </w:r>
      <w:r>
        <w:rPr>
          <w:rFonts w:ascii="Arial" w:hAnsi="Arial" w:cs="Arial"/>
          <w:b/>
          <w:color w:val="000000"/>
          <w:sz w:val="25"/>
          <w:szCs w:val="25"/>
        </w:rPr>
        <w:t>. - - -</w:t>
      </w:r>
      <w:r>
        <w:rPr>
          <w:rFonts w:ascii="Arial" w:hAnsi="Arial" w:cs="Arial"/>
          <w:color w:val="000000"/>
          <w:sz w:val="25"/>
          <w:szCs w:val="25"/>
        </w:rPr>
        <w:t xml:space="preserve"> </w:t>
      </w:r>
      <w:r>
        <w:rPr>
          <w:rFonts w:ascii="Arial" w:hAnsi="Arial" w:cs="Arial"/>
          <w:b/>
          <w:color w:val="000000"/>
          <w:sz w:val="25"/>
          <w:szCs w:val="25"/>
        </w:rPr>
        <w:t xml:space="preserve">- - </w:t>
      </w:r>
      <w:r>
        <w:rPr>
          <w:rFonts w:ascii="Arial" w:hAnsi="Arial" w:cs="Arial"/>
          <w:color w:val="000000"/>
          <w:sz w:val="25"/>
          <w:szCs w:val="25"/>
        </w:rPr>
        <w:t>e</w:t>
      </w:r>
      <w:r w:rsidRPr="00B533D0">
        <w:rPr>
          <w:rFonts w:ascii="Arial" w:hAnsi="Arial" w:cs="Arial"/>
          <w:b/>
          <w:color w:val="000000"/>
          <w:sz w:val="25"/>
          <w:szCs w:val="25"/>
        </w:rPr>
        <w:t>)</w:t>
      </w:r>
      <w:r>
        <w:rPr>
          <w:rFonts w:ascii="Arial" w:hAnsi="Arial" w:cs="Arial"/>
          <w:b/>
          <w:color w:val="000000"/>
          <w:sz w:val="25"/>
          <w:szCs w:val="25"/>
        </w:rPr>
        <w:t xml:space="preserve"> </w:t>
      </w:r>
      <w:r w:rsidRPr="00BE302E">
        <w:rPr>
          <w:rFonts w:ascii="Arial" w:hAnsi="Arial" w:cs="Arial"/>
          <w:color w:val="000000"/>
          <w:sz w:val="25"/>
          <w:szCs w:val="25"/>
        </w:rPr>
        <w:t>De conformidad con</w:t>
      </w:r>
      <w:r>
        <w:rPr>
          <w:rFonts w:ascii="Arial" w:hAnsi="Arial" w:cs="Arial"/>
          <w:b/>
          <w:color w:val="000000"/>
          <w:sz w:val="25"/>
          <w:szCs w:val="25"/>
        </w:rPr>
        <w:t xml:space="preserve"> </w:t>
      </w:r>
      <w:r w:rsidRPr="00B533D0">
        <w:rPr>
          <w:rFonts w:ascii="Arial" w:hAnsi="Arial" w:cs="Arial"/>
          <w:color w:val="000000"/>
          <w:sz w:val="25"/>
          <w:szCs w:val="25"/>
        </w:rPr>
        <w:t xml:space="preserve">lo dispuesto por la fracción VI del artículo 145 del Reglamento Interior del Consejo de la Judicatura, se recomienda </w:t>
      </w:r>
      <w:r>
        <w:rPr>
          <w:rFonts w:ascii="Arial" w:hAnsi="Arial" w:cs="Arial"/>
          <w:color w:val="000000"/>
          <w:sz w:val="25"/>
          <w:szCs w:val="25"/>
        </w:rPr>
        <w:t xml:space="preserve">a </w:t>
      </w:r>
      <w:r w:rsidRPr="004C5114">
        <w:rPr>
          <w:rFonts w:ascii="Arial" w:hAnsi="Arial" w:cs="Arial"/>
          <w:b/>
          <w:color w:val="000000"/>
          <w:sz w:val="25"/>
          <w:szCs w:val="25"/>
        </w:rPr>
        <w:t>la Subsecretaria</w:t>
      </w:r>
      <w:r>
        <w:rPr>
          <w:rFonts w:ascii="Arial" w:hAnsi="Arial" w:cs="Arial"/>
          <w:color w:val="000000"/>
          <w:sz w:val="25"/>
          <w:szCs w:val="25"/>
        </w:rPr>
        <w:t xml:space="preserve"> </w:t>
      </w:r>
      <w:r w:rsidRPr="00B533D0">
        <w:rPr>
          <w:rFonts w:ascii="Arial" w:hAnsi="Arial" w:cs="Arial"/>
          <w:color w:val="000000"/>
          <w:sz w:val="25"/>
          <w:szCs w:val="25"/>
        </w:rPr>
        <w:t xml:space="preserve">que cuando se </w:t>
      </w:r>
      <w:r w:rsidRPr="00B533D0">
        <w:rPr>
          <w:rFonts w:ascii="Arial" w:hAnsi="Arial" w:cs="Arial"/>
          <w:color w:val="000000"/>
          <w:sz w:val="25"/>
          <w:szCs w:val="25"/>
        </w:rPr>
        <w:lastRenderedPageBreak/>
        <w:t xml:space="preserve">realice el préstamo de procesos y/o averiguaciones, se efectúe mediante las boletas a que se refiere el artículo 190 del Reglamento antes mencionado, </w:t>
      </w:r>
      <w:r>
        <w:rPr>
          <w:rFonts w:ascii="Arial" w:hAnsi="Arial" w:cs="Arial"/>
          <w:color w:val="000000"/>
          <w:sz w:val="25"/>
          <w:szCs w:val="25"/>
        </w:rPr>
        <w:t>habida cuenta que durante la p</w:t>
      </w:r>
      <w:r w:rsidRPr="00B533D0">
        <w:rPr>
          <w:rFonts w:ascii="Arial" w:hAnsi="Arial" w:cs="Arial"/>
          <w:color w:val="000000"/>
          <w:sz w:val="25"/>
          <w:szCs w:val="25"/>
        </w:rPr>
        <w:t xml:space="preserve">rimera </w:t>
      </w:r>
      <w:r>
        <w:rPr>
          <w:rFonts w:ascii="Arial" w:hAnsi="Arial" w:cs="Arial"/>
          <w:color w:val="000000"/>
          <w:sz w:val="25"/>
          <w:szCs w:val="25"/>
        </w:rPr>
        <w:t>v</w:t>
      </w:r>
      <w:r w:rsidRPr="00B533D0">
        <w:rPr>
          <w:rFonts w:ascii="Arial" w:hAnsi="Arial" w:cs="Arial"/>
          <w:color w:val="000000"/>
          <w:sz w:val="25"/>
          <w:szCs w:val="25"/>
        </w:rPr>
        <w:t>is</w:t>
      </w:r>
      <w:r>
        <w:rPr>
          <w:rFonts w:ascii="Arial" w:hAnsi="Arial" w:cs="Arial"/>
          <w:color w:val="000000"/>
          <w:sz w:val="25"/>
          <w:szCs w:val="25"/>
        </w:rPr>
        <w:t>i</w:t>
      </w:r>
      <w:r w:rsidRPr="00B533D0">
        <w:rPr>
          <w:rFonts w:ascii="Arial" w:hAnsi="Arial" w:cs="Arial"/>
          <w:color w:val="000000"/>
          <w:sz w:val="25"/>
          <w:szCs w:val="25"/>
        </w:rPr>
        <w:t xml:space="preserve">ta del presente año al Juzgado de su adscripción, se observó que no se utiliza el llenado de </w:t>
      </w:r>
      <w:r>
        <w:rPr>
          <w:rFonts w:ascii="Arial" w:hAnsi="Arial" w:cs="Arial"/>
          <w:color w:val="000000"/>
          <w:sz w:val="25"/>
          <w:szCs w:val="25"/>
        </w:rPr>
        <w:t>éstas</w:t>
      </w:r>
      <w:r w:rsidRPr="00B533D0">
        <w:rPr>
          <w:rFonts w:ascii="Arial" w:hAnsi="Arial" w:cs="Arial"/>
          <w:color w:val="000000"/>
          <w:sz w:val="25"/>
          <w:szCs w:val="25"/>
        </w:rPr>
        <w:t xml:space="preserve">, </w:t>
      </w:r>
      <w:r>
        <w:rPr>
          <w:rFonts w:ascii="Arial" w:hAnsi="Arial" w:cs="Arial"/>
          <w:color w:val="000000"/>
          <w:sz w:val="25"/>
          <w:szCs w:val="25"/>
        </w:rPr>
        <w:t xml:space="preserve">no obstante que el cumplimiento de esta obligación </w:t>
      </w:r>
      <w:r w:rsidRPr="00B533D0">
        <w:rPr>
          <w:rFonts w:ascii="Arial" w:hAnsi="Arial" w:cs="Arial"/>
          <w:color w:val="000000"/>
          <w:sz w:val="25"/>
          <w:szCs w:val="25"/>
        </w:rPr>
        <w:t>es de suma importancia para el caso de los supuestos a que se refiere el artículo 191 del mismo Reglamento, lo anterior es visible a fojas 5</w:t>
      </w:r>
      <w:r>
        <w:rPr>
          <w:rFonts w:ascii="Arial" w:hAnsi="Arial" w:cs="Arial"/>
          <w:color w:val="000000"/>
          <w:sz w:val="25"/>
          <w:szCs w:val="25"/>
        </w:rPr>
        <w:t xml:space="preserve"> cinco</w:t>
      </w:r>
      <w:r w:rsidRPr="00B533D0">
        <w:rPr>
          <w:rFonts w:ascii="Arial" w:hAnsi="Arial" w:cs="Arial"/>
          <w:color w:val="000000"/>
          <w:sz w:val="25"/>
          <w:szCs w:val="25"/>
        </w:rPr>
        <w:t xml:space="preserve"> del acta de visita que obra en el Juzgado. </w:t>
      </w:r>
      <w:r>
        <w:rPr>
          <w:rFonts w:ascii="Arial" w:hAnsi="Arial" w:cs="Arial"/>
          <w:b/>
          <w:color w:val="000000"/>
          <w:sz w:val="25"/>
          <w:szCs w:val="25"/>
        </w:rPr>
        <w:t xml:space="preserve">- - - - - - - - - - - - - - - - - - - - - - - - </w:t>
      </w:r>
      <w:r w:rsidR="006C6FE3">
        <w:rPr>
          <w:rFonts w:ascii="Arial" w:hAnsi="Arial" w:cs="Arial"/>
          <w:b/>
          <w:color w:val="000000"/>
          <w:sz w:val="25"/>
          <w:szCs w:val="25"/>
        </w:rPr>
        <w:t xml:space="preserve"> - - - - - - - - - - - - - - - - - - - </w:t>
      </w:r>
      <w:r w:rsidRPr="004C5114">
        <w:rPr>
          <w:rFonts w:ascii="Arial" w:hAnsi="Arial" w:cs="Arial"/>
          <w:b/>
          <w:color w:val="000000"/>
          <w:sz w:val="25"/>
          <w:szCs w:val="25"/>
        </w:rPr>
        <w:t>f)</w:t>
      </w:r>
      <w:r w:rsidRPr="00B533D0">
        <w:rPr>
          <w:rFonts w:ascii="Arial" w:hAnsi="Arial" w:cs="Arial"/>
          <w:color w:val="000000"/>
          <w:sz w:val="25"/>
          <w:szCs w:val="25"/>
        </w:rPr>
        <w:t xml:space="preserve"> </w:t>
      </w:r>
      <w:r>
        <w:rPr>
          <w:rFonts w:ascii="Arial" w:hAnsi="Arial" w:cs="Arial"/>
          <w:color w:val="000000"/>
          <w:sz w:val="25"/>
          <w:szCs w:val="25"/>
        </w:rPr>
        <w:t>C</w:t>
      </w:r>
      <w:r w:rsidRPr="00B533D0">
        <w:rPr>
          <w:rFonts w:ascii="Arial" w:hAnsi="Arial" w:cs="Arial"/>
          <w:color w:val="000000"/>
          <w:sz w:val="25"/>
          <w:szCs w:val="25"/>
        </w:rPr>
        <w:t xml:space="preserve">on fundamento en lo dispuesto la fracción II del artículo 77 de la Ley Orgánica del Poder Judicial y por los </w:t>
      </w:r>
      <w:r>
        <w:rPr>
          <w:rFonts w:ascii="Arial" w:hAnsi="Arial" w:cs="Arial"/>
          <w:color w:val="000000"/>
          <w:sz w:val="25"/>
          <w:szCs w:val="25"/>
        </w:rPr>
        <w:t>numerales</w:t>
      </w:r>
      <w:r w:rsidRPr="00B533D0">
        <w:rPr>
          <w:rFonts w:ascii="Arial" w:hAnsi="Arial" w:cs="Arial"/>
          <w:color w:val="000000"/>
          <w:sz w:val="25"/>
          <w:szCs w:val="25"/>
        </w:rPr>
        <w:t xml:space="preserve"> 145</w:t>
      </w:r>
      <w:r>
        <w:rPr>
          <w:rFonts w:ascii="Arial" w:hAnsi="Arial" w:cs="Arial"/>
          <w:color w:val="000000"/>
          <w:sz w:val="25"/>
          <w:szCs w:val="25"/>
        </w:rPr>
        <w:t>,</w:t>
      </w:r>
      <w:r w:rsidRPr="00B533D0">
        <w:rPr>
          <w:rFonts w:ascii="Arial" w:hAnsi="Arial" w:cs="Arial"/>
          <w:color w:val="000000"/>
          <w:sz w:val="25"/>
          <w:szCs w:val="25"/>
        </w:rPr>
        <w:t xml:space="preserve"> fracción I, 163, 166</w:t>
      </w:r>
      <w:r>
        <w:rPr>
          <w:rFonts w:ascii="Arial" w:hAnsi="Arial" w:cs="Arial"/>
          <w:color w:val="000000"/>
          <w:sz w:val="25"/>
          <w:szCs w:val="25"/>
        </w:rPr>
        <w:t>,</w:t>
      </w:r>
      <w:r w:rsidRPr="00B533D0">
        <w:rPr>
          <w:rFonts w:ascii="Arial" w:hAnsi="Arial" w:cs="Arial"/>
          <w:color w:val="000000"/>
          <w:sz w:val="25"/>
          <w:szCs w:val="25"/>
        </w:rPr>
        <w:t xml:space="preserve"> fracción IX y 173 </w:t>
      </w:r>
      <w:r>
        <w:rPr>
          <w:rFonts w:ascii="Arial" w:hAnsi="Arial" w:cs="Arial"/>
          <w:color w:val="000000"/>
          <w:sz w:val="25"/>
          <w:szCs w:val="25"/>
        </w:rPr>
        <w:t xml:space="preserve">del </w:t>
      </w:r>
      <w:r w:rsidRPr="00B533D0">
        <w:rPr>
          <w:rFonts w:ascii="Arial" w:hAnsi="Arial" w:cs="Arial"/>
          <w:color w:val="000000"/>
          <w:sz w:val="25"/>
          <w:szCs w:val="25"/>
        </w:rPr>
        <w:t xml:space="preserve">Reglamento Interior del Consejo de la Judicatura del Poder Judicial del Estado, se recomienda </w:t>
      </w:r>
      <w:r>
        <w:rPr>
          <w:rFonts w:ascii="Arial" w:hAnsi="Arial" w:cs="Arial"/>
          <w:color w:val="000000"/>
          <w:sz w:val="25"/>
          <w:szCs w:val="25"/>
        </w:rPr>
        <w:t xml:space="preserve">a </w:t>
      </w:r>
      <w:r w:rsidRPr="004C5114">
        <w:rPr>
          <w:rFonts w:ascii="Arial" w:hAnsi="Arial" w:cs="Arial"/>
          <w:b/>
          <w:color w:val="000000"/>
          <w:sz w:val="25"/>
          <w:szCs w:val="25"/>
        </w:rPr>
        <w:t>la Subsecretaria</w:t>
      </w:r>
      <w:r>
        <w:rPr>
          <w:rFonts w:ascii="Arial" w:hAnsi="Arial" w:cs="Arial"/>
          <w:color w:val="000000"/>
          <w:sz w:val="25"/>
          <w:szCs w:val="25"/>
        </w:rPr>
        <w:t xml:space="preserve"> </w:t>
      </w:r>
      <w:r w:rsidRPr="00B533D0">
        <w:rPr>
          <w:rFonts w:ascii="Arial" w:hAnsi="Arial" w:cs="Arial"/>
          <w:color w:val="000000"/>
          <w:sz w:val="25"/>
          <w:szCs w:val="25"/>
        </w:rPr>
        <w:t>que de acuerdo a sus atribuciones, los libros</w:t>
      </w:r>
      <w:r w:rsidRPr="00B533D0">
        <w:rPr>
          <w:rFonts w:ascii="Arial" w:hAnsi="Arial" w:cs="Arial"/>
          <w:color w:val="000000"/>
          <w:sz w:val="25"/>
          <w:szCs w:val="25"/>
          <w:lang w:val="es-ES"/>
        </w:rPr>
        <w:t xml:space="preserve"> </w:t>
      </w:r>
      <w:r w:rsidRPr="00B533D0">
        <w:rPr>
          <w:rFonts w:ascii="Arial" w:hAnsi="Arial" w:cs="Arial"/>
          <w:color w:val="000000"/>
          <w:sz w:val="25"/>
          <w:szCs w:val="25"/>
        </w:rPr>
        <w:t xml:space="preserve">de registro se encuentren actualizados y con las formalidades a que se refiere el segundo precepto legal antes invocado, toda vez de que durante la </w:t>
      </w:r>
      <w:r>
        <w:rPr>
          <w:rFonts w:ascii="Arial" w:hAnsi="Arial" w:cs="Arial"/>
          <w:color w:val="000000"/>
          <w:sz w:val="25"/>
          <w:szCs w:val="25"/>
        </w:rPr>
        <w:t>p</w:t>
      </w:r>
      <w:r w:rsidRPr="00B533D0">
        <w:rPr>
          <w:rFonts w:ascii="Arial" w:hAnsi="Arial" w:cs="Arial"/>
          <w:color w:val="000000"/>
          <w:sz w:val="25"/>
          <w:szCs w:val="25"/>
        </w:rPr>
        <w:t xml:space="preserve">rimera </w:t>
      </w:r>
      <w:r>
        <w:rPr>
          <w:rFonts w:ascii="Arial" w:hAnsi="Arial" w:cs="Arial"/>
          <w:color w:val="000000"/>
          <w:sz w:val="25"/>
          <w:szCs w:val="25"/>
        </w:rPr>
        <w:t>v</w:t>
      </w:r>
      <w:r w:rsidRPr="00B533D0">
        <w:rPr>
          <w:rFonts w:ascii="Arial" w:hAnsi="Arial" w:cs="Arial"/>
          <w:color w:val="000000"/>
          <w:sz w:val="25"/>
          <w:szCs w:val="25"/>
        </w:rPr>
        <w:t xml:space="preserve">isita del presente año, se observó que el libro de exhortos recibidos no se encontraba actualizado y el libro de promociones no mencionaba el rubro de las columnas, </w:t>
      </w:r>
      <w:r w:rsidRPr="00B533D0">
        <w:rPr>
          <w:rFonts w:ascii="Arial" w:hAnsi="Arial" w:cs="Arial"/>
          <w:color w:val="000000"/>
          <w:sz w:val="25"/>
          <w:szCs w:val="25"/>
          <w:lang w:val="es-ES_tradnl"/>
        </w:rPr>
        <w:t>situación</w:t>
      </w:r>
      <w:r w:rsidRPr="00B533D0">
        <w:rPr>
          <w:rFonts w:ascii="Arial" w:hAnsi="Arial" w:cs="Arial"/>
          <w:color w:val="000000"/>
          <w:sz w:val="25"/>
          <w:szCs w:val="25"/>
        </w:rPr>
        <w:t xml:space="preserve"> visible a fojas 7, 8, 10 y 11 del acta de visita que obra en poder del Juzgado.</w:t>
      </w:r>
      <w:r>
        <w:rPr>
          <w:rFonts w:ascii="Arial" w:hAnsi="Arial" w:cs="Arial"/>
          <w:color w:val="000000"/>
          <w:sz w:val="25"/>
          <w:szCs w:val="25"/>
        </w:rPr>
        <w:t xml:space="preserve"> - - - </w:t>
      </w:r>
    </w:p>
    <w:p w:rsidR="009A44F9" w:rsidRDefault="009A44F9" w:rsidP="009A44F9">
      <w:pPr>
        <w:tabs>
          <w:tab w:val="center" w:pos="4250"/>
          <w:tab w:val="left" w:pos="7430"/>
        </w:tabs>
        <w:spacing w:line="360" w:lineRule="auto"/>
        <w:jc w:val="both"/>
        <w:rPr>
          <w:rFonts w:ascii="Arial" w:hAnsi="Arial" w:cs="Arial"/>
          <w:b/>
          <w:sz w:val="25"/>
          <w:szCs w:val="25"/>
          <w:shd w:val="clear" w:color="auto" w:fill="FFFFFF"/>
        </w:rPr>
      </w:pPr>
      <w:r w:rsidRPr="00EF4DEB">
        <w:rPr>
          <w:rFonts w:ascii="Arial" w:hAnsi="Arial" w:cs="Arial"/>
          <w:b/>
          <w:color w:val="000000"/>
          <w:sz w:val="25"/>
          <w:szCs w:val="25"/>
        </w:rPr>
        <w:t>g)</w:t>
      </w:r>
      <w:r>
        <w:rPr>
          <w:rFonts w:ascii="Arial" w:hAnsi="Arial" w:cs="Arial"/>
          <w:color w:val="000000"/>
          <w:sz w:val="25"/>
          <w:szCs w:val="25"/>
        </w:rPr>
        <w:t xml:space="preserve"> </w:t>
      </w:r>
      <w:r w:rsidRPr="00B533D0">
        <w:rPr>
          <w:rFonts w:ascii="Arial" w:hAnsi="Arial" w:cs="Arial"/>
          <w:color w:val="000000"/>
          <w:sz w:val="25"/>
          <w:szCs w:val="25"/>
        </w:rPr>
        <w:t>De conformidad con lo dispuesto por el artículo 82</w:t>
      </w:r>
      <w:r>
        <w:rPr>
          <w:rFonts w:ascii="Arial" w:hAnsi="Arial" w:cs="Arial"/>
          <w:color w:val="000000"/>
          <w:sz w:val="25"/>
          <w:szCs w:val="25"/>
        </w:rPr>
        <w:t>,</w:t>
      </w:r>
      <w:r w:rsidRPr="00B533D0">
        <w:rPr>
          <w:rFonts w:ascii="Arial" w:hAnsi="Arial" w:cs="Arial"/>
          <w:color w:val="000000"/>
          <w:sz w:val="25"/>
          <w:szCs w:val="25"/>
        </w:rPr>
        <w:t xml:space="preserve"> fracciones I y II de la Ley Orgánica del Poder Judicial</w:t>
      </w:r>
      <w:r>
        <w:rPr>
          <w:rFonts w:ascii="Arial" w:hAnsi="Arial" w:cs="Arial"/>
          <w:color w:val="000000"/>
          <w:sz w:val="25"/>
          <w:szCs w:val="25"/>
        </w:rPr>
        <w:t xml:space="preserve"> del Estado</w:t>
      </w:r>
      <w:r w:rsidRPr="00B533D0">
        <w:rPr>
          <w:rFonts w:ascii="Arial" w:hAnsi="Arial" w:cs="Arial"/>
          <w:color w:val="000000"/>
          <w:sz w:val="25"/>
          <w:szCs w:val="25"/>
        </w:rPr>
        <w:t>, en relación con lo dispuesto en los artículos 147</w:t>
      </w:r>
      <w:r>
        <w:rPr>
          <w:rFonts w:ascii="Arial" w:hAnsi="Arial" w:cs="Arial"/>
          <w:color w:val="000000"/>
          <w:sz w:val="25"/>
          <w:szCs w:val="25"/>
        </w:rPr>
        <w:t>,</w:t>
      </w:r>
      <w:r w:rsidRPr="00B533D0">
        <w:rPr>
          <w:rFonts w:ascii="Arial" w:hAnsi="Arial" w:cs="Arial"/>
          <w:color w:val="000000"/>
          <w:sz w:val="25"/>
          <w:szCs w:val="25"/>
        </w:rPr>
        <w:t xml:space="preserve"> fracción I y 163 del Reglamento Interior del Consejo de la Judicatura, se recomienda </w:t>
      </w:r>
      <w:r>
        <w:rPr>
          <w:rFonts w:ascii="Arial" w:hAnsi="Arial" w:cs="Arial"/>
          <w:color w:val="000000"/>
          <w:sz w:val="25"/>
          <w:szCs w:val="25"/>
        </w:rPr>
        <w:t xml:space="preserve">a la </w:t>
      </w:r>
      <w:r w:rsidRPr="00EB2708">
        <w:rPr>
          <w:rFonts w:ascii="Arial" w:hAnsi="Arial" w:cs="Arial"/>
          <w:b/>
          <w:color w:val="000000"/>
          <w:sz w:val="25"/>
          <w:szCs w:val="25"/>
        </w:rPr>
        <w:t xml:space="preserve">actuaria </w:t>
      </w:r>
      <w:r>
        <w:rPr>
          <w:rFonts w:ascii="Arial" w:hAnsi="Arial" w:cs="Arial"/>
          <w:color w:val="000000"/>
          <w:sz w:val="25"/>
          <w:szCs w:val="25"/>
        </w:rPr>
        <w:t xml:space="preserve">que asiente de inmediato y </w:t>
      </w:r>
      <w:r>
        <w:rPr>
          <w:rFonts w:ascii="Arial" w:hAnsi="Arial" w:cs="Arial"/>
          <w:sz w:val="25"/>
          <w:szCs w:val="25"/>
        </w:rPr>
        <w:t>diariamente las actuaciones y notificaciones que recaigan, conforme a los rubros que contiene el libro de registro de expedientes a su cargo</w:t>
      </w:r>
      <w:r>
        <w:rPr>
          <w:rFonts w:ascii="Arial" w:hAnsi="Arial" w:cs="Arial"/>
          <w:color w:val="000000"/>
          <w:sz w:val="25"/>
          <w:szCs w:val="25"/>
        </w:rPr>
        <w:t xml:space="preserve">, toda vez que en el acta levantada por motivo de la primera visita ordinaria del presente año, se observó la omisión en registrar los expedientes, desde el inicio en que se le turnan para la práctica de las diligencias, anotando la fecha del turno hasta la fecha de su devolución. </w:t>
      </w:r>
      <w:r>
        <w:rPr>
          <w:rFonts w:ascii="Arial" w:hAnsi="Arial" w:cs="Arial"/>
          <w:b/>
          <w:color w:val="000000"/>
          <w:sz w:val="25"/>
          <w:szCs w:val="25"/>
        </w:rPr>
        <w:t xml:space="preserve">- - - - - - - - - - </w:t>
      </w:r>
      <w:r w:rsidR="006C6FE3">
        <w:rPr>
          <w:rFonts w:ascii="Arial" w:hAnsi="Arial" w:cs="Arial"/>
          <w:b/>
          <w:color w:val="000000"/>
          <w:sz w:val="25"/>
          <w:szCs w:val="25"/>
        </w:rPr>
        <w:t xml:space="preserve">- - - - - - - - - - - - - - - - - - - - - - - - - - - - - - - - - - - - - - - </w:t>
      </w:r>
    </w:p>
    <w:p w:rsidR="006C6FE3" w:rsidRDefault="006C6FE3" w:rsidP="006C6FE3">
      <w:pPr>
        <w:pStyle w:val="Textoindependiente2"/>
        <w:rPr>
          <w:b/>
          <w:color w:val="000000"/>
          <w:sz w:val="25"/>
          <w:szCs w:val="25"/>
        </w:rPr>
      </w:pPr>
      <w:r>
        <w:rPr>
          <w:b/>
          <w:bCs/>
          <w:sz w:val="25"/>
          <w:szCs w:val="25"/>
          <w:shd w:val="clear" w:color="auto" w:fill="FFFFFF"/>
        </w:rPr>
        <w:lastRenderedPageBreak/>
        <w:t xml:space="preserve">ACUERDO 76/05/2019.- </w:t>
      </w:r>
      <w:r>
        <w:rPr>
          <w:bCs/>
          <w:sz w:val="25"/>
          <w:szCs w:val="25"/>
          <w:shd w:val="clear" w:color="auto" w:fill="FFFFFF"/>
        </w:rPr>
        <w:t>Los miembros de la Comisión de Disciplina, con</w:t>
      </w:r>
      <w:r>
        <w:rPr>
          <w:color w:val="000000"/>
          <w:sz w:val="25"/>
          <w:szCs w:val="25"/>
        </w:rPr>
        <w:t xml:space="preserve"> fundamento en el artículo 40, fracción V del Reglamento Interior del Consejo de la Judicatura</w:t>
      </w:r>
      <w:r>
        <w:rPr>
          <w:bCs/>
          <w:sz w:val="25"/>
          <w:szCs w:val="25"/>
          <w:shd w:val="clear" w:color="auto" w:fill="FFFFFF"/>
        </w:rPr>
        <w:t xml:space="preserve">, determinan emitir las </w:t>
      </w:r>
      <w:r w:rsidRPr="00723417">
        <w:rPr>
          <w:bCs/>
          <w:sz w:val="25"/>
          <w:szCs w:val="25"/>
          <w:shd w:val="clear" w:color="auto" w:fill="FFFFFF"/>
        </w:rPr>
        <w:t>siguientes reco</w:t>
      </w:r>
      <w:r>
        <w:rPr>
          <w:bCs/>
          <w:sz w:val="25"/>
          <w:szCs w:val="25"/>
          <w:shd w:val="clear" w:color="auto" w:fill="FFFFFF"/>
        </w:rPr>
        <w:t xml:space="preserve">mendaciones al </w:t>
      </w:r>
      <w:r w:rsidRPr="00786CA3">
        <w:rPr>
          <w:b/>
          <w:bCs/>
          <w:sz w:val="25"/>
          <w:szCs w:val="25"/>
        </w:rPr>
        <w:t xml:space="preserve">Sistema de Justicia Penal Acusatorio </w:t>
      </w:r>
      <w:r>
        <w:rPr>
          <w:b/>
          <w:bCs/>
          <w:sz w:val="25"/>
          <w:szCs w:val="25"/>
        </w:rPr>
        <w:t xml:space="preserve">Región III, Sala Sede </w:t>
      </w:r>
      <w:proofErr w:type="spellStart"/>
      <w:r>
        <w:rPr>
          <w:b/>
          <w:bCs/>
          <w:sz w:val="25"/>
          <w:szCs w:val="25"/>
        </w:rPr>
        <w:t>Rioverde</w:t>
      </w:r>
      <w:proofErr w:type="spellEnd"/>
      <w:r w:rsidRPr="00723417">
        <w:rPr>
          <w:b/>
          <w:bCs/>
          <w:sz w:val="25"/>
          <w:szCs w:val="25"/>
          <w:shd w:val="clear" w:color="auto" w:fill="FFFFFF"/>
        </w:rPr>
        <w:t xml:space="preserve">. - - - - - - - - - - - - - </w:t>
      </w:r>
      <w:r>
        <w:rPr>
          <w:b/>
          <w:color w:val="000000"/>
          <w:sz w:val="25"/>
          <w:szCs w:val="25"/>
        </w:rPr>
        <w:t>a)</w:t>
      </w:r>
      <w:r w:rsidRPr="00FA116F">
        <w:rPr>
          <w:color w:val="000000"/>
          <w:sz w:val="25"/>
          <w:szCs w:val="25"/>
        </w:rPr>
        <w:t xml:space="preserve"> Con fundamento en </w:t>
      </w:r>
      <w:r>
        <w:rPr>
          <w:color w:val="000000"/>
          <w:sz w:val="25"/>
          <w:szCs w:val="25"/>
        </w:rPr>
        <w:t>los</w:t>
      </w:r>
      <w:r w:rsidRPr="00FA116F">
        <w:rPr>
          <w:color w:val="000000"/>
          <w:sz w:val="25"/>
          <w:szCs w:val="25"/>
        </w:rPr>
        <w:t xml:space="preserve"> artículo</w:t>
      </w:r>
      <w:r>
        <w:rPr>
          <w:color w:val="000000"/>
          <w:sz w:val="25"/>
          <w:szCs w:val="25"/>
        </w:rPr>
        <w:t>s</w:t>
      </w:r>
      <w:r w:rsidRPr="00FA116F">
        <w:rPr>
          <w:color w:val="000000"/>
          <w:sz w:val="25"/>
          <w:szCs w:val="25"/>
        </w:rPr>
        <w:t xml:space="preserve"> 26</w:t>
      </w:r>
      <w:r>
        <w:rPr>
          <w:color w:val="000000"/>
          <w:sz w:val="25"/>
          <w:szCs w:val="25"/>
        </w:rPr>
        <w:t>,</w:t>
      </w:r>
      <w:r w:rsidRPr="00FA116F">
        <w:rPr>
          <w:color w:val="000000"/>
          <w:sz w:val="25"/>
          <w:szCs w:val="25"/>
        </w:rPr>
        <w:t xml:space="preserve"> fracción I y 32</w:t>
      </w:r>
      <w:r>
        <w:rPr>
          <w:color w:val="000000"/>
          <w:sz w:val="25"/>
          <w:szCs w:val="25"/>
        </w:rPr>
        <w:t>,</w:t>
      </w:r>
      <w:r w:rsidRPr="00FA116F">
        <w:rPr>
          <w:color w:val="000000"/>
          <w:sz w:val="25"/>
          <w:szCs w:val="25"/>
        </w:rPr>
        <w:t xml:space="preserve"> fracción V del Acuerdo General Centésimo Primero del Consejo de la Judicatura, que dota de atribuciones a las categorías del Sistema de Justicia Penal Acusatorio, </w:t>
      </w:r>
      <w:r>
        <w:rPr>
          <w:color w:val="000000"/>
          <w:sz w:val="25"/>
          <w:szCs w:val="25"/>
        </w:rPr>
        <w:t xml:space="preserve">asimismo, </w:t>
      </w:r>
      <w:r w:rsidRPr="00FA116F">
        <w:rPr>
          <w:color w:val="000000"/>
          <w:sz w:val="25"/>
          <w:szCs w:val="25"/>
        </w:rPr>
        <w:t xml:space="preserve">tomando en consideración que durante la práctica de la </w:t>
      </w:r>
      <w:r>
        <w:rPr>
          <w:color w:val="000000"/>
          <w:sz w:val="25"/>
          <w:szCs w:val="25"/>
        </w:rPr>
        <w:t>p</w:t>
      </w:r>
      <w:r w:rsidRPr="00FA116F">
        <w:rPr>
          <w:color w:val="000000"/>
          <w:sz w:val="25"/>
          <w:szCs w:val="25"/>
        </w:rPr>
        <w:t xml:space="preserve">rimera </w:t>
      </w:r>
      <w:r>
        <w:rPr>
          <w:color w:val="000000"/>
          <w:sz w:val="25"/>
          <w:szCs w:val="25"/>
        </w:rPr>
        <w:t>v</w:t>
      </w:r>
      <w:r w:rsidRPr="00FA116F">
        <w:rPr>
          <w:color w:val="000000"/>
          <w:sz w:val="25"/>
          <w:szCs w:val="25"/>
        </w:rPr>
        <w:t xml:space="preserve">isita </w:t>
      </w:r>
      <w:r>
        <w:rPr>
          <w:color w:val="000000"/>
          <w:sz w:val="25"/>
          <w:szCs w:val="25"/>
        </w:rPr>
        <w:t>o</w:t>
      </w:r>
      <w:r w:rsidRPr="00FA116F">
        <w:rPr>
          <w:color w:val="000000"/>
          <w:sz w:val="25"/>
          <w:szCs w:val="25"/>
        </w:rPr>
        <w:t>rdinaria del año 2019</w:t>
      </w:r>
      <w:r>
        <w:rPr>
          <w:color w:val="000000"/>
          <w:sz w:val="25"/>
          <w:szCs w:val="25"/>
        </w:rPr>
        <w:t xml:space="preserve"> dos mil diecinueve</w:t>
      </w:r>
      <w:r w:rsidRPr="00FA116F">
        <w:rPr>
          <w:color w:val="000000"/>
          <w:sz w:val="25"/>
          <w:szCs w:val="25"/>
        </w:rPr>
        <w:t xml:space="preserve">, al Centro Regional de Justicia Penal de su adscripción, se observó la falta de un libro de registro de notificaciones, se recomienda </w:t>
      </w:r>
      <w:r w:rsidRPr="004E1196">
        <w:rPr>
          <w:b/>
          <w:color w:val="000000"/>
          <w:sz w:val="25"/>
          <w:szCs w:val="25"/>
        </w:rPr>
        <w:t>al Gestor Regional</w:t>
      </w:r>
      <w:r>
        <w:rPr>
          <w:color w:val="000000"/>
          <w:sz w:val="25"/>
          <w:szCs w:val="25"/>
        </w:rPr>
        <w:t xml:space="preserve"> </w:t>
      </w:r>
      <w:r w:rsidRPr="00FA116F">
        <w:rPr>
          <w:color w:val="000000"/>
          <w:sz w:val="25"/>
          <w:szCs w:val="25"/>
        </w:rPr>
        <w:t xml:space="preserve">implementar el control de las actividades de los Notificadores, en un libro impreso o bien en el programa Excel, donde se  registren como mínimo: </w:t>
      </w:r>
      <w:r>
        <w:rPr>
          <w:color w:val="000000"/>
          <w:sz w:val="25"/>
          <w:szCs w:val="25"/>
        </w:rPr>
        <w:t>1) L</w:t>
      </w:r>
      <w:r w:rsidRPr="00FA116F">
        <w:rPr>
          <w:color w:val="000000"/>
          <w:sz w:val="25"/>
          <w:szCs w:val="25"/>
        </w:rPr>
        <w:t>a fecha de las notificaciones que se turnan con la firma de recibido y</w:t>
      </w:r>
      <w:r>
        <w:rPr>
          <w:color w:val="000000"/>
          <w:sz w:val="25"/>
          <w:szCs w:val="25"/>
        </w:rPr>
        <w:t>, 2) L</w:t>
      </w:r>
      <w:r w:rsidRPr="00FA116F">
        <w:rPr>
          <w:color w:val="000000"/>
          <w:sz w:val="25"/>
          <w:szCs w:val="25"/>
        </w:rPr>
        <w:t>a fecha de la baja correspondiente c</w:t>
      </w:r>
      <w:r>
        <w:rPr>
          <w:color w:val="000000"/>
          <w:sz w:val="25"/>
          <w:szCs w:val="25"/>
        </w:rPr>
        <w:t>on la firma de quien las recibe;</w:t>
      </w:r>
      <w:r w:rsidRPr="00FA116F">
        <w:rPr>
          <w:color w:val="000000"/>
          <w:sz w:val="25"/>
          <w:szCs w:val="25"/>
        </w:rPr>
        <w:t xml:space="preserve"> </w:t>
      </w:r>
      <w:r>
        <w:rPr>
          <w:color w:val="000000"/>
          <w:sz w:val="25"/>
          <w:szCs w:val="25"/>
        </w:rPr>
        <w:t xml:space="preserve">debiendo, además, </w:t>
      </w:r>
      <w:r w:rsidRPr="00FA116F">
        <w:rPr>
          <w:color w:val="000000"/>
          <w:sz w:val="25"/>
          <w:szCs w:val="25"/>
        </w:rPr>
        <w:t>verifica</w:t>
      </w:r>
      <w:r>
        <w:rPr>
          <w:color w:val="000000"/>
          <w:sz w:val="25"/>
          <w:szCs w:val="25"/>
        </w:rPr>
        <w:t>r que las anotaciones</w:t>
      </w:r>
      <w:r w:rsidRPr="00FA116F">
        <w:rPr>
          <w:color w:val="000000"/>
          <w:sz w:val="25"/>
          <w:szCs w:val="25"/>
        </w:rPr>
        <w:t xml:space="preserve"> se realicen en la forma y términos que para tal efecto se previene en el Código Nacional de Procedimientos Penales, lo anterior es visible en el apartado correspondiente del acta </w:t>
      </w:r>
      <w:r>
        <w:rPr>
          <w:color w:val="000000"/>
          <w:sz w:val="25"/>
          <w:szCs w:val="25"/>
        </w:rPr>
        <w:t>de visita que obra en esa Sala s</w:t>
      </w:r>
      <w:r w:rsidRPr="00FA116F">
        <w:rPr>
          <w:color w:val="000000"/>
          <w:sz w:val="25"/>
          <w:szCs w:val="25"/>
        </w:rPr>
        <w:t xml:space="preserve">ede. </w:t>
      </w:r>
      <w:r>
        <w:rPr>
          <w:b/>
          <w:color w:val="000000"/>
          <w:sz w:val="25"/>
          <w:szCs w:val="25"/>
        </w:rPr>
        <w:t xml:space="preserve">- - - - - - - - - - - - - - - - - - - - - - - - - - - - </w:t>
      </w:r>
      <w:r w:rsidRPr="00FA116F">
        <w:rPr>
          <w:b/>
          <w:sz w:val="25"/>
          <w:szCs w:val="25"/>
        </w:rPr>
        <w:t>b</w:t>
      </w:r>
      <w:r w:rsidRPr="00FA116F">
        <w:rPr>
          <w:b/>
          <w:color w:val="000000"/>
          <w:sz w:val="25"/>
          <w:szCs w:val="25"/>
        </w:rPr>
        <w:t>)</w:t>
      </w:r>
      <w:r w:rsidRPr="00FA116F">
        <w:rPr>
          <w:color w:val="000000"/>
          <w:sz w:val="25"/>
          <w:szCs w:val="25"/>
        </w:rPr>
        <w:t xml:space="preserve"> Con fundamento en </w:t>
      </w:r>
      <w:r>
        <w:rPr>
          <w:color w:val="000000"/>
          <w:sz w:val="25"/>
          <w:szCs w:val="25"/>
        </w:rPr>
        <w:t>los</w:t>
      </w:r>
      <w:r w:rsidRPr="00FA116F">
        <w:rPr>
          <w:color w:val="000000"/>
          <w:sz w:val="25"/>
          <w:szCs w:val="25"/>
        </w:rPr>
        <w:t xml:space="preserve"> artículo</w:t>
      </w:r>
      <w:r>
        <w:rPr>
          <w:color w:val="000000"/>
          <w:sz w:val="25"/>
          <w:szCs w:val="25"/>
        </w:rPr>
        <w:t>s</w:t>
      </w:r>
      <w:r w:rsidRPr="00FA116F">
        <w:rPr>
          <w:color w:val="000000"/>
          <w:sz w:val="25"/>
          <w:szCs w:val="25"/>
        </w:rPr>
        <w:t xml:space="preserve"> 26</w:t>
      </w:r>
      <w:r>
        <w:rPr>
          <w:color w:val="000000"/>
          <w:sz w:val="25"/>
          <w:szCs w:val="25"/>
        </w:rPr>
        <w:t>,</w:t>
      </w:r>
      <w:r w:rsidRPr="00FA116F">
        <w:rPr>
          <w:color w:val="000000"/>
          <w:sz w:val="25"/>
          <w:szCs w:val="25"/>
        </w:rPr>
        <w:t xml:space="preserve"> fracción V, 28</w:t>
      </w:r>
      <w:r>
        <w:rPr>
          <w:color w:val="000000"/>
          <w:sz w:val="25"/>
          <w:szCs w:val="25"/>
        </w:rPr>
        <w:t>,</w:t>
      </w:r>
      <w:r w:rsidRPr="00FA116F">
        <w:rPr>
          <w:color w:val="000000"/>
          <w:sz w:val="25"/>
          <w:szCs w:val="25"/>
        </w:rPr>
        <w:t xml:space="preserve"> fracciones II y VI y 37</w:t>
      </w:r>
      <w:r>
        <w:rPr>
          <w:color w:val="000000"/>
          <w:sz w:val="25"/>
          <w:szCs w:val="25"/>
        </w:rPr>
        <w:t>,</w:t>
      </w:r>
      <w:r w:rsidRPr="00FA116F">
        <w:rPr>
          <w:color w:val="000000"/>
          <w:sz w:val="25"/>
          <w:szCs w:val="25"/>
        </w:rPr>
        <w:t xml:space="preserve"> fracción V del Acuerdo General Centésimo Primero del Consejo de la Judicatura, que dota de atribuciones a las categorías del Sistema de Justicia Penal Acusatorio, </w:t>
      </w:r>
      <w:r>
        <w:rPr>
          <w:color w:val="000000"/>
          <w:sz w:val="25"/>
          <w:szCs w:val="25"/>
        </w:rPr>
        <w:t xml:space="preserve">en el orden administrativo, </w:t>
      </w:r>
      <w:r w:rsidRPr="00FA116F">
        <w:rPr>
          <w:color w:val="000000"/>
          <w:sz w:val="25"/>
          <w:szCs w:val="25"/>
        </w:rPr>
        <w:t xml:space="preserve">se recomienda </w:t>
      </w:r>
      <w:r>
        <w:rPr>
          <w:color w:val="000000"/>
          <w:sz w:val="25"/>
          <w:szCs w:val="25"/>
        </w:rPr>
        <w:t xml:space="preserve">al </w:t>
      </w:r>
      <w:r w:rsidRPr="00596B83">
        <w:rPr>
          <w:b/>
          <w:color w:val="000000"/>
          <w:sz w:val="25"/>
          <w:szCs w:val="25"/>
        </w:rPr>
        <w:t>Gestor Regional</w:t>
      </w:r>
      <w:r>
        <w:rPr>
          <w:color w:val="000000"/>
          <w:sz w:val="25"/>
          <w:szCs w:val="25"/>
        </w:rPr>
        <w:t xml:space="preserve"> </w:t>
      </w:r>
      <w:r w:rsidRPr="00FA116F">
        <w:rPr>
          <w:color w:val="000000"/>
          <w:sz w:val="25"/>
          <w:szCs w:val="25"/>
        </w:rPr>
        <w:t>vigilar en forma constante, que las carpetas judiciales se encuentren debidamente integradas con todos los documentos necesarios y obligatorios prescritos por el Código Nacional de Procedimientos Penales, siguiendo un orden cronológico con el folio correspondiente, facilitando con ello la lectura de los documentos que forman parte de la misma</w:t>
      </w:r>
      <w:r>
        <w:rPr>
          <w:color w:val="000000"/>
          <w:sz w:val="25"/>
          <w:szCs w:val="25"/>
        </w:rPr>
        <w:t>;</w:t>
      </w:r>
      <w:r w:rsidRPr="00FA116F">
        <w:rPr>
          <w:color w:val="000000"/>
          <w:sz w:val="25"/>
          <w:szCs w:val="25"/>
        </w:rPr>
        <w:t xml:space="preserve"> lo anterior tiene sustento en lo observado durante la práctica de la </w:t>
      </w:r>
      <w:r>
        <w:rPr>
          <w:color w:val="000000"/>
          <w:sz w:val="25"/>
          <w:szCs w:val="25"/>
        </w:rPr>
        <w:t>p</w:t>
      </w:r>
      <w:r w:rsidRPr="00FA116F">
        <w:rPr>
          <w:color w:val="000000"/>
          <w:sz w:val="25"/>
          <w:szCs w:val="25"/>
        </w:rPr>
        <w:t xml:space="preserve">rimera </w:t>
      </w:r>
      <w:r>
        <w:rPr>
          <w:color w:val="000000"/>
          <w:sz w:val="25"/>
          <w:szCs w:val="25"/>
        </w:rPr>
        <w:t>v</w:t>
      </w:r>
      <w:r w:rsidRPr="00FA116F">
        <w:rPr>
          <w:color w:val="000000"/>
          <w:sz w:val="25"/>
          <w:szCs w:val="25"/>
        </w:rPr>
        <w:t xml:space="preserve">isita </w:t>
      </w:r>
      <w:r>
        <w:rPr>
          <w:color w:val="000000"/>
          <w:sz w:val="25"/>
          <w:szCs w:val="25"/>
        </w:rPr>
        <w:t>o</w:t>
      </w:r>
      <w:r w:rsidRPr="00FA116F">
        <w:rPr>
          <w:color w:val="000000"/>
          <w:sz w:val="25"/>
          <w:szCs w:val="25"/>
        </w:rPr>
        <w:t>rdinaria del año 2019</w:t>
      </w:r>
      <w:r>
        <w:rPr>
          <w:color w:val="000000"/>
          <w:sz w:val="25"/>
          <w:szCs w:val="25"/>
        </w:rPr>
        <w:t xml:space="preserve"> dos mil diecinueve</w:t>
      </w:r>
      <w:r w:rsidRPr="00FA116F">
        <w:rPr>
          <w:color w:val="000000"/>
          <w:sz w:val="25"/>
          <w:szCs w:val="25"/>
        </w:rPr>
        <w:t xml:space="preserve">, al Centro Regional de Justicia Penal de su adscripción, consistente en que las carpetas judiciales revisadas </w:t>
      </w:r>
      <w:r w:rsidRPr="00FA116F">
        <w:rPr>
          <w:color w:val="000000"/>
          <w:sz w:val="25"/>
          <w:szCs w:val="25"/>
        </w:rPr>
        <w:lastRenderedPageBreak/>
        <w:t>carecían del folio correspondiente, lo cual es visible en el apartado correspondiente del acta de vi</w:t>
      </w:r>
      <w:r>
        <w:rPr>
          <w:color w:val="000000"/>
          <w:sz w:val="25"/>
          <w:szCs w:val="25"/>
        </w:rPr>
        <w:t xml:space="preserve">sita que obra en esa Sala sede. </w:t>
      </w:r>
      <w:r>
        <w:rPr>
          <w:b/>
          <w:color w:val="000000"/>
          <w:sz w:val="25"/>
          <w:szCs w:val="25"/>
        </w:rPr>
        <w:t>–</w:t>
      </w:r>
      <w:r w:rsidRPr="00596B83">
        <w:rPr>
          <w:b/>
          <w:color w:val="000000"/>
          <w:sz w:val="25"/>
          <w:szCs w:val="25"/>
        </w:rPr>
        <w:t xml:space="preserve"> </w:t>
      </w:r>
    </w:p>
    <w:p w:rsidR="006C6FE3" w:rsidRPr="0085069F" w:rsidRDefault="006C6FE3" w:rsidP="006C6FE3">
      <w:pPr>
        <w:pStyle w:val="Textoindependiente2"/>
        <w:rPr>
          <w:b/>
          <w:sz w:val="25"/>
          <w:szCs w:val="25"/>
        </w:rPr>
      </w:pPr>
      <w:r w:rsidRPr="00D75A5C">
        <w:rPr>
          <w:b/>
          <w:bCs/>
          <w:sz w:val="25"/>
          <w:szCs w:val="25"/>
        </w:rPr>
        <w:t>ACUERDO</w:t>
      </w:r>
      <w:r>
        <w:rPr>
          <w:b/>
          <w:bCs/>
          <w:sz w:val="25"/>
          <w:szCs w:val="25"/>
        </w:rPr>
        <w:t xml:space="preserve"> 77</w:t>
      </w:r>
      <w:r w:rsidRPr="001073F6">
        <w:rPr>
          <w:b/>
          <w:bCs/>
          <w:sz w:val="25"/>
          <w:szCs w:val="25"/>
          <w:shd w:val="clear" w:color="auto" w:fill="FFFFFF"/>
          <w:lang w:val="es-ES"/>
        </w:rPr>
        <w:t>/0</w:t>
      </w:r>
      <w:r>
        <w:rPr>
          <w:b/>
          <w:bCs/>
          <w:sz w:val="25"/>
          <w:szCs w:val="25"/>
          <w:shd w:val="clear" w:color="auto" w:fill="FFFFFF"/>
          <w:lang w:val="es-ES"/>
        </w:rPr>
        <w:t>5</w:t>
      </w:r>
      <w:r w:rsidRPr="001073F6">
        <w:rPr>
          <w:b/>
          <w:bCs/>
          <w:sz w:val="25"/>
          <w:szCs w:val="25"/>
          <w:shd w:val="clear" w:color="auto" w:fill="FFFFFF"/>
          <w:lang w:val="es-ES"/>
        </w:rPr>
        <w:t>/201</w:t>
      </w:r>
      <w:r>
        <w:rPr>
          <w:b/>
          <w:bCs/>
          <w:sz w:val="25"/>
          <w:szCs w:val="25"/>
          <w:shd w:val="clear" w:color="auto" w:fill="FFFFFF"/>
          <w:lang w:val="es-ES"/>
        </w:rPr>
        <w:t>9</w:t>
      </w:r>
      <w:r w:rsidRPr="00D75A5C">
        <w:rPr>
          <w:b/>
          <w:bCs/>
          <w:sz w:val="25"/>
          <w:szCs w:val="25"/>
        </w:rPr>
        <w:t xml:space="preserve">.- </w:t>
      </w:r>
      <w:r w:rsidRPr="00D75A5C">
        <w:rPr>
          <w:bCs/>
          <w:sz w:val="25"/>
          <w:szCs w:val="25"/>
          <w:lang w:val="es-ES"/>
        </w:rPr>
        <w:t xml:space="preserve">Los miembros de la Comisión de Disciplina, </w:t>
      </w:r>
      <w:r>
        <w:rPr>
          <w:bCs/>
          <w:sz w:val="25"/>
          <w:szCs w:val="25"/>
          <w:lang w:val="es-ES"/>
        </w:rPr>
        <w:t xml:space="preserve">de conformidad con lo establecido en el artículo 40, fracción IX </w:t>
      </w:r>
      <w:r>
        <w:rPr>
          <w:color w:val="000000"/>
          <w:sz w:val="25"/>
          <w:szCs w:val="25"/>
        </w:rPr>
        <w:t>del Reglamento Interior del Consejo de la Judicatura,</w:t>
      </w:r>
      <w:r w:rsidRPr="00D75A5C">
        <w:rPr>
          <w:bCs/>
          <w:sz w:val="25"/>
          <w:szCs w:val="25"/>
          <w:lang w:val="es-ES"/>
        </w:rPr>
        <w:t xml:space="preserve"> determinan </w:t>
      </w:r>
      <w:r>
        <w:rPr>
          <w:bCs/>
          <w:sz w:val="25"/>
          <w:szCs w:val="25"/>
          <w:lang w:val="es-ES"/>
        </w:rPr>
        <w:t xml:space="preserve">remitir </w:t>
      </w:r>
      <w:r>
        <w:rPr>
          <w:bCs/>
          <w:sz w:val="25"/>
          <w:szCs w:val="25"/>
        </w:rPr>
        <w:t xml:space="preserve">el escrito </w:t>
      </w:r>
      <w:r w:rsidRPr="005D05CB">
        <w:rPr>
          <w:sz w:val="25"/>
          <w:szCs w:val="25"/>
        </w:rPr>
        <w:t xml:space="preserve">de fecha dieciséis de abril del año en curso, signado por el licenciado </w:t>
      </w:r>
      <w:r w:rsidRPr="00D75A5C">
        <w:rPr>
          <w:bCs/>
          <w:sz w:val="25"/>
          <w:szCs w:val="25"/>
          <w:lang w:val="es-ES"/>
        </w:rPr>
        <w:t xml:space="preserve"> </w:t>
      </w:r>
      <w:r>
        <w:rPr>
          <w:bCs/>
          <w:sz w:val="25"/>
          <w:szCs w:val="25"/>
          <w:lang w:val="es-ES"/>
        </w:rPr>
        <w:t xml:space="preserve"> - - - - ELIMINADO - -</w:t>
      </w:r>
      <w:r>
        <w:rPr>
          <w:sz w:val="25"/>
          <w:szCs w:val="25"/>
        </w:rPr>
        <w:t xml:space="preserve">, </w:t>
      </w:r>
      <w:r w:rsidRPr="00D75A5C">
        <w:rPr>
          <w:bCs/>
          <w:sz w:val="25"/>
          <w:szCs w:val="25"/>
        </w:rPr>
        <w:t xml:space="preserve">a la </w:t>
      </w:r>
      <w:proofErr w:type="spellStart"/>
      <w:r w:rsidRPr="00D75A5C">
        <w:rPr>
          <w:bCs/>
          <w:sz w:val="25"/>
          <w:szCs w:val="25"/>
        </w:rPr>
        <w:t>Visitaduría</w:t>
      </w:r>
      <w:proofErr w:type="spellEnd"/>
      <w:r w:rsidRPr="00D75A5C">
        <w:rPr>
          <w:bCs/>
          <w:sz w:val="25"/>
          <w:szCs w:val="25"/>
        </w:rPr>
        <w:t xml:space="preserve"> Judicial </w:t>
      </w:r>
      <w:r w:rsidRPr="00D75A5C">
        <w:rPr>
          <w:bCs/>
          <w:sz w:val="25"/>
          <w:szCs w:val="25"/>
          <w:lang w:val="es-ES"/>
        </w:rPr>
        <w:t xml:space="preserve">a través del licenciado </w:t>
      </w:r>
      <w:r>
        <w:rPr>
          <w:bCs/>
          <w:sz w:val="25"/>
          <w:szCs w:val="25"/>
          <w:lang w:val="es-ES"/>
        </w:rPr>
        <w:t xml:space="preserve"> - - - - ELIMINADO - - </w:t>
      </w:r>
      <w:r w:rsidRPr="00D75A5C">
        <w:rPr>
          <w:bCs/>
          <w:sz w:val="25"/>
          <w:szCs w:val="25"/>
          <w:lang w:val="es-ES"/>
        </w:rPr>
        <w:t xml:space="preserve"> Visitador General </w:t>
      </w:r>
      <w:r>
        <w:rPr>
          <w:bCs/>
          <w:sz w:val="25"/>
          <w:szCs w:val="25"/>
          <w:lang w:val="es-ES"/>
        </w:rPr>
        <w:t xml:space="preserve">para que por sí </w:t>
      </w:r>
      <w:r w:rsidRPr="00D75A5C">
        <w:rPr>
          <w:bCs/>
          <w:sz w:val="25"/>
          <w:szCs w:val="25"/>
          <w:lang w:val="es-ES"/>
        </w:rPr>
        <w:t xml:space="preserve">o </w:t>
      </w:r>
      <w:r w:rsidRPr="00D75A5C">
        <w:rPr>
          <w:bCs/>
          <w:sz w:val="25"/>
          <w:szCs w:val="25"/>
        </w:rPr>
        <w:t>del Visitador Judicial que al efecto designe,</w:t>
      </w:r>
      <w:r w:rsidRPr="00D75A5C">
        <w:rPr>
          <w:bCs/>
          <w:sz w:val="25"/>
          <w:szCs w:val="25"/>
          <w:lang w:val="es-ES"/>
        </w:rPr>
        <w:t xml:space="preserve"> </w:t>
      </w:r>
      <w:r>
        <w:rPr>
          <w:bCs/>
          <w:sz w:val="25"/>
          <w:szCs w:val="25"/>
          <w:lang w:val="es-ES"/>
        </w:rPr>
        <w:t xml:space="preserve">determine </w:t>
      </w:r>
      <w:r>
        <w:rPr>
          <w:bCs/>
          <w:sz w:val="25"/>
          <w:szCs w:val="25"/>
        </w:rPr>
        <w:t xml:space="preserve">si de lo narrado en el escrito </w:t>
      </w:r>
      <w:r w:rsidRPr="005D05CB">
        <w:rPr>
          <w:sz w:val="25"/>
          <w:szCs w:val="25"/>
        </w:rPr>
        <w:t xml:space="preserve">de fecha dieciséis de abril del año en curso, signado por el licenciado </w:t>
      </w:r>
      <w:r w:rsidRPr="00D75A5C">
        <w:rPr>
          <w:bCs/>
          <w:sz w:val="25"/>
          <w:szCs w:val="25"/>
          <w:lang w:val="es-ES"/>
        </w:rPr>
        <w:t xml:space="preserve"> </w:t>
      </w:r>
      <w:r>
        <w:rPr>
          <w:bCs/>
          <w:sz w:val="25"/>
          <w:szCs w:val="25"/>
          <w:lang w:val="es-ES"/>
        </w:rPr>
        <w:t xml:space="preserve"> - - - - ELIMINADO - -</w:t>
      </w:r>
      <w:r>
        <w:rPr>
          <w:sz w:val="25"/>
          <w:szCs w:val="25"/>
        </w:rPr>
        <w:t xml:space="preserve">, se pudiera desprender probable responsabilidad de uno o varios servidores judiciales y, por tanto, si procede iniciar juicio de responsabilidad en su contra.  </w:t>
      </w:r>
      <w:r w:rsidRPr="0085069F">
        <w:rPr>
          <w:b/>
          <w:sz w:val="25"/>
          <w:szCs w:val="25"/>
        </w:rPr>
        <w:t xml:space="preserve">- - - - - - - - - - - - - - - - - - </w:t>
      </w:r>
      <w:r>
        <w:rPr>
          <w:b/>
          <w:sz w:val="25"/>
          <w:szCs w:val="25"/>
        </w:rPr>
        <w:t>- - - - - - -</w:t>
      </w:r>
    </w:p>
    <w:p w:rsidR="006C6FE3" w:rsidRPr="00FA116F" w:rsidRDefault="006C6FE3" w:rsidP="006C6FE3">
      <w:pPr>
        <w:pStyle w:val="Textoindependiente2"/>
        <w:rPr>
          <w:color w:val="000000"/>
          <w:sz w:val="25"/>
          <w:szCs w:val="25"/>
        </w:rPr>
      </w:pPr>
    </w:p>
    <w:p w:rsidR="009A44F9" w:rsidRPr="009A44F9" w:rsidRDefault="009A44F9" w:rsidP="009A44F9">
      <w:pPr>
        <w:spacing w:line="360" w:lineRule="auto"/>
        <w:jc w:val="both"/>
      </w:pPr>
    </w:p>
    <w:sectPr w:rsidR="009A44F9" w:rsidRPr="009A44F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787C"/>
    <w:rsid w:val="00001409"/>
    <w:rsid w:val="000135D4"/>
    <w:rsid w:val="000269C6"/>
    <w:rsid w:val="00106243"/>
    <w:rsid w:val="001B6806"/>
    <w:rsid w:val="00280BBF"/>
    <w:rsid w:val="00304B37"/>
    <w:rsid w:val="00317F3F"/>
    <w:rsid w:val="00322D75"/>
    <w:rsid w:val="003A0FA8"/>
    <w:rsid w:val="003B2149"/>
    <w:rsid w:val="003C3BC5"/>
    <w:rsid w:val="003F015B"/>
    <w:rsid w:val="004050A0"/>
    <w:rsid w:val="004231C3"/>
    <w:rsid w:val="00427386"/>
    <w:rsid w:val="00435C82"/>
    <w:rsid w:val="004F1311"/>
    <w:rsid w:val="005266ED"/>
    <w:rsid w:val="005308EC"/>
    <w:rsid w:val="006C6FE3"/>
    <w:rsid w:val="00712879"/>
    <w:rsid w:val="0074435B"/>
    <w:rsid w:val="007F0ED9"/>
    <w:rsid w:val="0082395F"/>
    <w:rsid w:val="0087518A"/>
    <w:rsid w:val="00877354"/>
    <w:rsid w:val="008D3FBF"/>
    <w:rsid w:val="0099787C"/>
    <w:rsid w:val="009A44F9"/>
    <w:rsid w:val="009C0FD2"/>
    <w:rsid w:val="009D1ECC"/>
    <w:rsid w:val="009D795B"/>
    <w:rsid w:val="009E6B27"/>
    <w:rsid w:val="00A073CC"/>
    <w:rsid w:val="00A128BA"/>
    <w:rsid w:val="00A41344"/>
    <w:rsid w:val="00A42679"/>
    <w:rsid w:val="00A77B2B"/>
    <w:rsid w:val="00A857E0"/>
    <w:rsid w:val="00AC7870"/>
    <w:rsid w:val="00B43E8C"/>
    <w:rsid w:val="00B45492"/>
    <w:rsid w:val="00B57472"/>
    <w:rsid w:val="00B83AD1"/>
    <w:rsid w:val="00BD43CC"/>
    <w:rsid w:val="00BD4C13"/>
    <w:rsid w:val="00C11A13"/>
    <w:rsid w:val="00C3280F"/>
    <w:rsid w:val="00C476CB"/>
    <w:rsid w:val="00CC45DD"/>
    <w:rsid w:val="00D748E1"/>
    <w:rsid w:val="00D849C5"/>
    <w:rsid w:val="00DC1872"/>
    <w:rsid w:val="00E42025"/>
    <w:rsid w:val="00E428DA"/>
    <w:rsid w:val="00EB6F91"/>
    <w:rsid w:val="00F00421"/>
    <w:rsid w:val="00F76E6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F76E67"/>
    <w:pPr>
      <w:autoSpaceDE w:val="0"/>
      <w:autoSpaceDN w:val="0"/>
      <w:adjustRightInd w:val="0"/>
      <w:spacing w:after="0" w:line="240" w:lineRule="auto"/>
    </w:pPr>
    <w:rPr>
      <w:rFonts w:ascii="Arial" w:eastAsia="SimSun" w:hAnsi="Arial" w:cs="Arial"/>
      <w:color w:val="000000"/>
      <w:sz w:val="24"/>
      <w:szCs w:val="24"/>
      <w:lang w:eastAsia="zh-CN"/>
    </w:rPr>
  </w:style>
  <w:style w:type="paragraph" w:styleId="Textoindependiente2">
    <w:name w:val="Body Text 2"/>
    <w:basedOn w:val="Normal"/>
    <w:link w:val="Textoindependiente2Car"/>
    <w:rsid w:val="00B45492"/>
    <w:pPr>
      <w:suppressAutoHyphens/>
      <w:spacing w:after="0" w:line="360" w:lineRule="auto"/>
      <w:jc w:val="both"/>
    </w:pPr>
    <w:rPr>
      <w:rFonts w:ascii="Arial" w:eastAsia="Times New Roman" w:hAnsi="Arial" w:cs="Arial"/>
      <w:color w:val="00000A"/>
      <w:lang w:eastAsia="es-ES"/>
    </w:rPr>
  </w:style>
  <w:style w:type="character" w:customStyle="1" w:styleId="Textoindependiente2Car">
    <w:name w:val="Texto independiente 2 Car"/>
    <w:basedOn w:val="Fuentedeprrafopredeter"/>
    <w:link w:val="Textoindependiente2"/>
    <w:rsid w:val="00B45492"/>
    <w:rPr>
      <w:rFonts w:ascii="Arial" w:eastAsia="Times New Roman" w:hAnsi="Arial" w:cs="Arial"/>
      <w:color w:val="00000A"/>
      <w:lang w:eastAsia="es-ES"/>
    </w:rPr>
  </w:style>
  <w:style w:type="paragraph" w:styleId="Encabezado">
    <w:name w:val="header"/>
    <w:basedOn w:val="Normal"/>
    <w:link w:val="EncabezadoCar"/>
    <w:uiPriority w:val="99"/>
    <w:unhideWhenUsed/>
    <w:rsid w:val="00A4134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4134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F76E67"/>
    <w:pPr>
      <w:autoSpaceDE w:val="0"/>
      <w:autoSpaceDN w:val="0"/>
      <w:adjustRightInd w:val="0"/>
      <w:spacing w:after="0" w:line="240" w:lineRule="auto"/>
    </w:pPr>
    <w:rPr>
      <w:rFonts w:ascii="Arial" w:eastAsia="SimSun" w:hAnsi="Arial" w:cs="Arial"/>
      <w:color w:val="000000"/>
      <w:sz w:val="24"/>
      <w:szCs w:val="24"/>
      <w:lang w:eastAsia="zh-CN"/>
    </w:rPr>
  </w:style>
  <w:style w:type="paragraph" w:styleId="Textoindependiente2">
    <w:name w:val="Body Text 2"/>
    <w:basedOn w:val="Normal"/>
    <w:link w:val="Textoindependiente2Car"/>
    <w:rsid w:val="00B45492"/>
    <w:pPr>
      <w:suppressAutoHyphens/>
      <w:spacing w:after="0" w:line="360" w:lineRule="auto"/>
      <w:jc w:val="both"/>
    </w:pPr>
    <w:rPr>
      <w:rFonts w:ascii="Arial" w:eastAsia="Times New Roman" w:hAnsi="Arial" w:cs="Arial"/>
      <w:color w:val="00000A"/>
      <w:lang w:eastAsia="es-ES"/>
    </w:rPr>
  </w:style>
  <w:style w:type="character" w:customStyle="1" w:styleId="Textoindependiente2Car">
    <w:name w:val="Texto independiente 2 Car"/>
    <w:basedOn w:val="Fuentedeprrafopredeter"/>
    <w:link w:val="Textoindependiente2"/>
    <w:rsid w:val="00B45492"/>
    <w:rPr>
      <w:rFonts w:ascii="Arial" w:eastAsia="Times New Roman" w:hAnsi="Arial" w:cs="Arial"/>
      <w:color w:val="00000A"/>
      <w:lang w:eastAsia="es-ES"/>
    </w:rPr>
  </w:style>
  <w:style w:type="paragraph" w:styleId="Encabezado">
    <w:name w:val="header"/>
    <w:basedOn w:val="Normal"/>
    <w:link w:val="EncabezadoCar"/>
    <w:uiPriority w:val="99"/>
    <w:unhideWhenUsed/>
    <w:rsid w:val="00A41344"/>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413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8C77FD-6A39-4957-A55B-24C2A888BC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2900</Words>
  <Characters>15950</Characters>
  <Application>Microsoft Office Word</Application>
  <DocSecurity>0</DocSecurity>
  <Lines>132</Lines>
  <Paragraphs>37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18813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 CONCEPCION LOZANO  CORONADO</dc:creator>
  <cp:lastModifiedBy>STJSLP</cp:lastModifiedBy>
  <cp:revision>2</cp:revision>
  <dcterms:created xsi:type="dcterms:W3CDTF">2019-06-10T16:26:00Z</dcterms:created>
  <dcterms:modified xsi:type="dcterms:W3CDTF">2019-06-10T16:26:00Z</dcterms:modified>
</cp:coreProperties>
</file>