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D1323E">
        <w:rPr>
          <w:rFonts w:asciiTheme="minorHAnsi" w:hAnsiTheme="minorHAnsi" w:cstheme="minorHAnsi"/>
          <w:b/>
        </w:rPr>
        <w:t xml:space="preserve">Son facultades de las </w:t>
      </w:r>
      <w:r w:rsidRPr="00D1323E">
        <w:rPr>
          <w:rFonts w:asciiTheme="minorHAnsi" w:hAnsiTheme="minorHAnsi" w:cstheme="minorHAnsi"/>
          <w:b/>
          <w:bCs/>
        </w:rPr>
        <w:t>Subdirecciones Regionales de Área:</w:t>
      </w:r>
    </w:p>
    <w:p w:rsidR="00413F1C" w:rsidRPr="00D1323E" w:rsidRDefault="00413F1C" w:rsidP="00413F1C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1323E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41 de la Ley de la Defensoría Pública del Estado,  </w:t>
      </w:r>
      <w:r w:rsidRPr="00D1323E">
        <w:rPr>
          <w:rFonts w:asciiTheme="minorHAnsi" w:hAnsiTheme="minorHAnsi" w:cstheme="minorHAnsi"/>
          <w:sz w:val="24"/>
          <w:szCs w:val="24"/>
        </w:rPr>
        <w:t>son atribuciones de las y los titulares de las subdirecciones regionales en el ámbito de su jurisdicción territorial: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Fungir como enlace y representación de las oficinas en las regiones del Estado en que se encuentren adscritos tanto de la Coordinación General y cada una de las direcciones establecidas en esta Ley; </w:t>
      </w:r>
    </w:p>
    <w:p w:rsidR="00413F1C" w:rsidRPr="00D1323E" w:rsidRDefault="00413F1C" w:rsidP="00413F1C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Dar atención de los asuntos de impacto social que se susciten en la región del estado al que se encuentren adscritos, dando cuenta a la dirección de área, para establecer las estrategias a seguir;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</w:t>
      </w: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Vigilar el eficaz desempeño de las y los abogados defensores en las distintas áreas que conforman la Defensoría, y demás personal subalterno; 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Dar seguimiento a los asuntos encomendados por los directores de área; 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Proponer al director de área la celebración de convenios de colaboración con autoridades federal, municipales y con particulares que tengan relación con las funciones de la dependencia; 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Coordinarse con la Dirección Administrativa de la Coordinación de la Defensoría Pública, para mantener actualizados los resguardos de los bienes muebles conforme a los lineamientos emitidos por la Oficialía Mayor de Gobierno del Estado, y </w:t>
      </w:r>
    </w:p>
    <w:p w:rsidR="00413F1C" w:rsidRPr="00D1323E" w:rsidRDefault="00413F1C" w:rsidP="00413F1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413F1C" w:rsidRPr="00D1323E" w:rsidRDefault="00413F1C" w:rsidP="00413F1C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D1323E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Las demás que determinen los reglamentos, lineamientos legales aplicables y la Coordinación General conforme a sus atribuciones.</w:t>
      </w: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2CB" w:rsidRDefault="003A12CB">
      <w:pPr>
        <w:spacing w:after="0" w:line="240" w:lineRule="auto"/>
      </w:pPr>
      <w:r>
        <w:separator/>
      </w:r>
    </w:p>
  </w:endnote>
  <w:endnote w:type="continuationSeparator" w:id="0">
    <w:p w:rsidR="003A12CB" w:rsidRDefault="003A1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781E0BEE-16B7-49A5-8F6C-B4C1FB915228}"/>
    <w:embedBold r:id="rId2" w:fontKey="{81781010-BD4D-4F52-9490-109514833C78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C28BF1A6-B57F-47F3-A18F-C4FE33313465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2CB" w:rsidRDefault="003A12CB">
      <w:pPr>
        <w:spacing w:after="0" w:line="240" w:lineRule="auto"/>
      </w:pPr>
      <w:r>
        <w:separator/>
      </w:r>
    </w:p>
  </w:footnote>
  <w:footnote w:type="continuationSeparator" w:id="0">
    <w:p w:rsidR="003A12CB" w:rsidRDefault="003A12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11046E"/>
    <w:multiLevelType w:val="hybridMultilevel"/>
    <w:tmpl w:val="2064F1DC"/>
    <w:lvl w:ilvl="0" w:tplc="7CE831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12CB"/>
    <w:rsid w:val="003A65A6"/>
    <w:rsid w:val="003B6CD5"/>
    <w:rsid w:val="00413F1C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13F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13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37A504-53C6-4157-8134-6263A3D7C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220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2019-03-31T21:38:00Z</dcterms:modified>
</cp:coreProperties>
</file>