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998605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CC0A13">
        <w:rPr>
          <w:rFonts w:ascii="AvantGarde Bk BT" w:hAnsi="AvantGarde Bk BT" w:cs="Arial"/>
          <w:b/>
          <w:color w:val="000000" w:themeColor="text1"/>
          <w:sz w:val="24"/>
          <w:szCs w:val="24"/>
        </w:rPr>
        <w:t>148</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CC0A13">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CC0A13">
        <w:rPr>
          <w:rFonts w:ascii="AvantGarde Bk BT" w:hAnsi="AvantGarde Bk BT" w:cs="Arial"/>
          <w:b/>
          <w:color w:val="000000" w:themeColor="text1"/>
          <w:sz w:val="24"/>
          <w:szCs w:val="24"/>
        </w:rPr>
        <w:t>PLATAFORMA</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4A5D772" w:rsidR="0004274F" w:rsidRPr="007C5605" w:rsidRDefault="00CC0A13"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PARTIDO MOVIMIENTO REGENERACIÓN NACIONAL</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42A93551"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w:t>
      </w:r>
      <w:r w:rsidR="00CC0A13">
        <w:rPr>
          <w:rFonts w:ascii="AvantGarde Bk BT" w:hAnsi="AvantGarde Bk BT" w:cs="Arial"/>
          <w:color w:val="000000" w:themeColor="text1"/>
          <w:sz w:val="24"/>
          <w:szCs w:val="24"/>
        </w:rPr>
        <w:t>26 veintiséis de marzo</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5135E52" w14:textId="100120BC" w:rsidR="0018577C" w:rsidRPr="00BC56F2" w:rsidRDefault="0004274F" w:rsidP="005D2C05">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CC0A13">
        <w:rPr>
          <w:rFonts w:ascii="AvantGarde Bk BT" w:hAnsi="AvantGarde Bk BT" w:cs="Arial"/>
          <w:color w:val="000000" w:themeColor="text1"/>
          <w:sz w:val="24"/>
          <w:szCs w:val="24"/>
        </w:rPr>
        <w:t xml:space="preserve">19 diecinueve de enero del 2019 dos mil diecinueve </w:t>
      </w:r>
      <w:r w:rsidR="005E613C">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CC0A13">
        <w:rPr>
          <w:rFonts w:ascii="AvantGarde Bk BT" w:hAnsi="AvantGarde Bk BT" w:cs="Arial"/>
          <w:b/>
          <w:color w:val="000000" w:themeColor="text1"/>
          <w:sz w:val="24"/>
          <w:szCs w:val="24"/>
        </w:rPr>
        <w:t>PARTIDO MOVIMIENTO REGENERACIÓN NACIONAL</w:t>
      </w:r>
      <w:r w:rsidR="00CC0A1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Plataforma Nacional de Transparencia san Luis potosí</w:t>
      </w:r>
      <w:r w:rsidR="000B3669">
        <w:rPr>
          <w:rFonts w:ascii="AvantGarde Bk BT" w:hAnsi="AvantGarde Bk BT" w:cs="Arial"/>
          <w:color w:val="000000" w:themeColor="text1"/>
          <w:sz w:val="24"/>
          <w:szCs w:val="24"/>
        </w:rPr>
        <w:t xml:space="preserve">, misma que quedó registrada con número de folio </w:t>
      </w:r>
      <w:r w:rsidR="00E11281">
        <w:rPr>
          <w:rFonts w:ascii="AvantGarde Bk BT" w:hAnsi="AvantGarde Bk BT" w:cs="Arial"/>
          <w:color w:val="000000" w:themeColor="text1"/>
          <w:sz w:val="24"/>
          <w:szCs w:val="24"/>
        </w:rPr>
        <w:t>00</w:t>
      </w:r>
      <w:r w:rsidR="00CC0A13">
        <w:rPr>
          <w:rFonts w:ascii="AvantGarde Bk BT" w:hAnsi="AvantGarde Bk BT" w:cs="Arial"/>
          <w:color w:val="000000" w:themeColor="text1"/>
          <w:sz w:val="24"/>
          <w:szCs w:val="24"/>
        </w:rPr>
        <w:t>059419</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CC0A13">
        <w:rPr>
          <w:rFonts w:ascii="AvantGarde Bk BT" w:hAnsi="AvantGarde Bk BT" w:cs="Arial"/>
          <w:color w:val="000000" w:themeColor="text1"/>
          <w:sz w:val="24"/>
          <w:szCs w:val="24"/>
        </w:rPr>
        <w:t>02</w:t>
      </w:r>
      <w:r w:rsidR="00D2176E">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13165279" w14:textId="77777777" w:rsidR="0018577C" w:rsidRDefault="0018577C" w:rsidP="0018577C">
      <w:pPr>
        <w:pStyle w:val="corte4fondo"/>
        <w:tabs>
          <w:tab w:val="left" w:pos="567"/>
        </w:tabs>
        <w:ind w:left="680" w:firstLine="0"/>
        <w:rPr>
          <w:rFonts w:ascii="AvantGarde Bk BT" w:hAnsi="AvantGarde Bk BT" w:cs="Arial"/>
          <w:b/>
          <w:color w:val="000000" w:themeColor="text1"/>
          <w:sz w:val="24"/>
          <w:szCs w:val="24"/>
        </w:rPr>
      </w:pPr>
    </w:p>
    <w:p w14:paraId="5A66A7E6" w14:textId="6E8AF149" w:rsidR="00E71CBE" w:rsidRDefault="0004274F" w:rsidP="008E5D6D">
      <w:pPr>
        <w:pStyle w:val="corte4fondo"/>
        <w:tabs>
          <w:tab w:val="left" w:pos="709"/>
        </w:tabs>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E613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CC0A13">
        <w:rPr>
          <w:rFonts w:ascii="AvantGarde Bk BT" w:hAnsi="AvantGarde Bk BT" w:cs="Arial"/>
          <w:b/>
          <w:color w:val="000000" w:themeColor="text1"/>
          <w:sz w:val="24"/>
          <w:szCs w:val="24"/>
        </w:rPr>
        <w:t>PARTIDO MOVIMIENTO REGENERACIÓN NACIONAL</w:t>
      </w:r>
      <w:r w:rsidR="00CC0A13">
        <w:rPr>
          <w:rFonts w:ascii="AvantGarde Bk BT" w:hAnsi="AvantGarde Bk BT" w:cs="Arial"/>
          <w:color w:val="000000" w:themeColor="text1"/>
          <w:sz w:val="24"/>
          <w:szCs w:val="24"/>
        </w:rPr>
        <w:t xml:space="preserve"> fue omiso en dar </w:t>
      </w:r>
      <w:r w:rsidR="008251BA">
        <w:rPr>
          <w:rFonts w:ascii="AvantGarde Bk BT" w:hAnsi="AvantGarde Bk BT" w:cs="Arial"/>
          <w:color w:val="000000" w:themeColor="text1"/>
          <w:sz w:val="24"/>
          <w:szCs w:val="24"/>
        </w:rPr>
        <w:t>contestación a la solici</w:t>
      </w:r>
      <w:r w:rsidR="00CC0A13">
        <w:rPr>
          <w:rFonts w:ascii="AvantGarde Bk BT" w:hAnsi="AvantGarde Bk BT" w:cs="Arial"/>
          <w:color w:val="000000" w:themeColor="text1"/>
          <w:sz w:val="24"/>
          <w:szCs w:val="24"/>
        </w:rPr>
        <w:t>tud planteada por el particular.</w:t>
      </w:r>
    </w:p>
    <w:p w14:paraId="2F440862" w14:textId="77777777" w:rsidR="00B400A9" w:rsidRDefault="00B400A9" w:rsidP="00B400A9">
      <w:pPr>
        <w:pStyle w:val="corte4fondo"/>
        <w:tabs>
          <w:tab w:val="left" w:pos="567"/>
        </w:tabs>
        <w:ind w:firstLine="0"/>
        <w:rPr>
          <w:rFonts w:ascii="AvantGarde Bk BT" w:hAnsi="AvantGarde Bk BT" w:cs="Arial"/>
          <w:color w:val="000000" w:themeColor="text1"/>
          <w:sz w:val="24"/>
          <w:szCs w:val="24"/>
        </w:rPr>
      </w:pPr>
    </w:p>
    <w:p w14:paraId="7D934F34" w14:textId="38D202F7" w:rsidR="005D2C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CC0A13">
        <w:rPr>
          <w:rFonts w:ascii="AvantGarde Bk BT" w:hAnsi="AvantGarde Bk BT" w:cs="Arial"/>
          <w:color w:val="000000" w:themeColor="text1"/>
          <w:sz w:val="24"/>
          <w:szCs w:val="24"/>
        </w:rPr>
        <w:t>07 siete de febrero 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6D089B31" w14:textId="77777777"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14:paraId="7E369B89" w14:textId="4C451819"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C0A13">
        <w:rPr>
          <w:rFonts w:ascii="AvantGarde Bk BT" w:hAnsi="AvantGarde Bk BT" w:cs="Arial"/>
          <w:color w:val="000000" w:themeColor="text1"/>
          <w:sz w:val="24"/>
          <w:szCs w:val="24"/>
        </w:rPr>
        <w:t>08 ocho de febrero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7EB8E033" w14:textId="43E83215"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01708">
        <w:rPr>
          <w:rFonts w:ascii="AvantGarde Bk BT" w:hAnsi="AvantGarde Bk BT" w:cs="Arial"/>
          <w:color w:val="000000" w:themeColor="text1"/>
          <w:sz w:val="24"/>
          <w:szCs w:val="24"/>
        </w:rPr>
        <w:t>12</w:t>
      </w:r>
      <w:r w:rsidR="00D2176E">
        <w:rPr>
          <w:rFonts w:ascii="AvantGarde Bk BT" w:hAnsi="AvantGarde Bk BT" w:cs="Arial"/>
          <w:color w:val="000000" w:themeColor="text1"/>
          <w:sz w:val="24"/>
          <w:szCs w:val="24"/>
        </w:rPr>
        <w:t xml:space="preserve"> </w:t>
      </w:r>
      <w:r w:rsidR="00601708">
        <w:rPr>
          <w:rFonts w:ascii="AvantGarde Bk BT" w:hAnsi="AvantGarde Bk BT" w:cs="Arial"/>
          <w:color w:val="000000" w:themeColor="text1"/>
          <w:sz w:val="24"/>
          <w:szCs w:val="24"/>
        </w:rPr>
        <w:t>doce</w:t>
      </w:r>
      <w:r w:rsidR="00D2176E">
        <w:rPr>
          <w:rFonts w:ascii="AvantGarde Bk BT" w:hAnsi="AvantGarde Bk BT" w:cs="Arial"/>
          <w:color w:val="000000" w:themeColor="text1"/>
          <w:sz w:val="24"/>
          <w:szCs w:val="24"/>
        </w:rPr>
        <w:t xml:space="preserve"> de </w:t>
      </w:r>
      <w:r w:rsidR="00601708">
        <w:rPr>
          <w:rFonts w:ascii="AvantGarde Bk BT" w:hAnsi="AvantGarde Bk BT" w:cs="Arial"/>
          <w:color w:val="000000" w:themeColor="text1"/>
          <w:sz w:val="24"/>
          <w:szCs w:val="24"/>
        </w:rPr>
        <w:t>febrero</w:t>
      </w:r>
      <w:r w:rsidR="005D2C05">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w:t>
      </w:r>
      <w:r w:rsidR="00601708">
        <w:rPr>
          <w:rFonts w:ascii="AvantGarde Bk BT" w:hAnsi="AvantGarde Bk BT" w:cs="Arial"/>
          <w:color w:val="000000" w:themeColor="text1"/>
          <w:sz w:val="24"/>
          <w:szCs w:val="24"/>
        </w:rPr>
        <w:t>9 dos mil diecinueve</w:t>
      </w:r>
      <w:r w:rsidRPr="007C5605">
        <w:rPr>
          <w:rFonts w:ascii="AvantGarde Bk BT" w:hAnsi="AvantGarde Bk BT" w:cs="Arial"/>
          <w:color w:val="000000" w:themeColor="text1"/>
          <w:sz w:val="24"/>
          <w:szCs w:val="24"/>
        </w:rPr>
        <w:t xml:space="preserve"> el Comisionado Ponente:</w:t>
      </w:r>
    </w:p>
    <w:p w14:paraId="157E0B40"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F826082" w14:textId="4C4E1DC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8E5D6D">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3177E1">
        <w:rPr>
          <w:rFonts w:ascii="AvantGarde Bk BT" w:hAnsi="AvantGarde Bk BT" w:cs="Arial"/>
          <w:color w:val="000000" w:themeColor="text1"/>
          <w:sz w:val="24"/>
          <w:szCs w:val="24"/>
        </w:rPr>
        <w:t>V</w:t>
      </w:r>
      <w:r w:rsidR="00B76213">
        <w:rPr>
          <w:rFonts w:ascii="AvantGarde Bk BT" w:hAnsi="AvantGarde Bk BT" w:cs="Arial"/>
          <w:color w:val="000000" w:themeColor="text1"/>
          <w:sz w:val="24"/>
          <w:szCs w:val="24"/>
        </w:rPr>
        <w:t>I</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1894B159"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03285">
        <w:rPr>
          <w:rFonts w:ascii="AvantGarde Bk BT" w:hAnsi="AvantGarde Bk BT" w:cs="Arial"/>
          <w:b/>
          <w:color w:val="000000" w:themeColor="text1"/>
          <w:sz w:val="24"/>
          <w:szCs w:val="24"/>
        </w:rPr>
        <w:t>148</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B03285">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B03285">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AF280AC" w14:textId="56FF2DA7"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012E2D">
        <w:rPr>
          <w:rFonts w:ascii="AvantGarde Bk BT" w:hAnsi="AvantGarde Bk BT" w:cs="Arial"/>
          <w:b/>
          <w:color w:val="000000" w:themeColor="text1"/>
          <w:sz w:val="24"/>
          <w:szCs w:val="24"/>
        </w:rPr>
        <w:t xml:space="preserve"> </w:t>
      </w:r>
      <w:r w:rsidR="00B03285">
        <w:rPr>
          <w:rFonts w:ascii="AvantGarde Bk BT" w:hAnsi="AvantGarde Bk BT" w:cs="Arial"/>
          <w:b/>
          <w:color w:val="000000" w:themeColor="text1"/>
          <w:sz w:val="24"/>
          <w:szCs w:val="24"/>
        </w:rPr>
        <w:t>PARTIDO MOVIMIENTO REGENERACIÓN NACIONAL</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6ACCFFDD"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493680A" w14:textId="3F9B4D9D"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160B0B13" w14:textId="6B77C4E2"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B03285">
        <w:rPr>
          <w:rFonts w:ascii="AvantGarde Bk BT" w:hAnsi="AvantGarde Bk BT" w:cs="Arial"/>
          <w:color w:val="000000" w:themeColor="text1"/>
          <w:sz w:val="24"/>
          <w:szCs w:val="24"/>
        </w:rPr>
        <w:t xml:space="preserve">04 cuatro de marzo </w:t>
      </w:r>
      <w:r w:rsidR="005D675B">
        <w:rPr>
          <w:rFonts w:ascii="AvantGarde Bk BT" w:hAnsi="AvantGarde Bk BT" w:cs="Arial"/>
          <w:color w:val="000000" w:themeColor="text1"/>
          <w:sz w:val="24"/>
          <w:szCs w:val="24"/>
        </w:rPr>
        <w:t>de 201</w:t>
      </w:r>
      <w:r w:rsidR="00B76213">
        <w:rPr>
          <w:rFonts w:ascii="AvantGarde Bk BT" w:hAnsi="AvantGarde Bk BT" w:cs="Arial"/>
          <w:color w:val="000000" w:themeColor="text1"/>
          <w:sz w:val="24"/>
          <w:szCs w:val="24"/>
        </w:rPr>
        <w:t>9</w:t>
      </w:r>
      <w:r w:rsidR="005D675B">
        <w:rPr>
          <w:rFonts w:ascii="AvantGarde Bk BT" w:hAnsi="AvantGarde Bk BT" w:cs="Arial"/>
          <w:color w:val="000000" w:themeColor="text1"/>
          <w:sz w:val="24"/>
          <w:szCs w:val="24"/>
        </w:rPr>
        <w:t xml:space="preserve"> dos mil dieci</w:t>
      </w:r>
      <w:r w:rsidR="00B76213">
        <w:rPr>
          <w:rFonts w:ascii="AvantGarde Bk BT" w:hAnsi="AvantGarde Bk BT" w:cs="Arial"/>
          <w:color w:val="000000" w:themeColor="text1"/>
          <w:sz w:val="24"/>
          <w:szCs w:val="24"/>
        </w:rPr>
        <w:t>nueve</w:t>
      </w:r>
      <w:r w:rsidR="00CC0E73">
        <w:rPr>
          <w:rFonts w:ascii="AvantGarde Bk BT" w:hAnsi="AvantGarde Bk BT" w:cs="Arial"/>
          <w:color w:val="000000" w:themeColor="text1"/>
          <w:sz w:val="24"/>
          <w:szCs w:val="24"/>
        </w:rPr>
        <w:t xml:space="preserve"> el ponente:</w:t>
      </w:r>
    </w:p>
    <w:p w14:paraId="40B482CD"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463FA77F" w14:textId="7AD55A94" w:rsidR="0088364D" w:rsidRDefault="0088364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el informe rendido por </w:t>
      </w:r>
      <w:r w:rsidR="008E5D6D">
        <w:rPr>
          <w:rFonts w:ascii="AvantGarde Bk BT" w:hAnsi="AvantGarde Bk BT" w:cs="Arial"/>
          <w:color w:val="000000" w:themeColor="text1"/>
          <w:sz w:val="24"/>
          <w:szCs w:val="24"/>
        </w:rPr>
        <w:t xml:space="preserve">el </w:t>
      </w:r>
      <w:r w:rsidR="008251BA">
        <w:rPr>
          <w:rFonts w:ascii="AvantGarde Bk BT" w:hAnsi="AvantGarde Bk BT" w:cs="Arial"/>
          <w:color w:val="000000" w:themeColor="text1"/>
          <w:sz w:val="24"/>
          <w:szCs w:val="24"/>
        </w:rPr>
        <w:t>Titular de la Unidad de Transparencia del sujeto obligado</w:t>
      </w:r>
      <w:r>
        <w:rPr>
          <w:rFonts w:ascii="AvantGarde Bk BT" w:hAnsi="AvantGarde Bk BT" w:cs="Arial"/>
          <w:color w:val="000000" w:themeColor="text1"/>
          <w:sz w:val="24"/>
          <w:szCs w:val="24"/>
        </w:rPr>
        <w:t>.</w:t>
      </w:r>
    </w:p>
    <w:p w14:paraId="2AE3ACEE" w14:textId="09FF2BF2" w:rsidR="00012E2D" w:rsidRDefault="00012E2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FB2238">
        <w:rPr>
          <w:rFonts w:ascii="AvantGarde Bk BT" w:hAnsi="AvantGarde Bk BT" w:cs="Arial"/>
          <w:color w:val="000000" w:themeColor="text1"/>
          <w:sz w:val="24"/>
          <w:szCs w:val="24"/>
        </w:rPr>
        <w:t>personería con la que comparec</w:t>
      </w:r>
      <w:r w:rsidR="00F4586F">
        <w:rPr>
          <w:rFonts w:ascii="AvantGarde Bk BT" w:hAnsi="AvantGarde Bk BT" w:cs="Arial"/>
          <w:color w:val="000000" w:themeColor="text1"/>
          <w:sz w:val="24"/>
          <w:szCs w:val="24"/>
        </w:rPr>
        <w:t>ió</w:t>
      </w:r>
      <w:r>
        <w:rPr>
          <w:rFonts w:ascii="AvantGarde Bk BT" w:hAnsi="AvantGarde Bk BT" w:cs="Arial"/>
          <w:color w:val="000000" w:themeColor="text1"/>
          <w:sz w:val="24"/>
          <w:szCs w:val="24"/>
        </w:rPr>
        <w:t xml:space="preserve"> dentro de los autos.</w:t>
      </w:r>
    </w:p>
    <w:p w14:paraId="4F139F77" w14:textId="428B74FD"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w:t>
      </w:r>
      <w:r w:rsidR="00012E2D">
        <w:rPr>
          <w:rFonts w:ascii="AvantGarde Bk BT" w:hAnsi="AvantGarde Bk BT" w:cs="Arial"/>
          <w:color w:val="000000" w:themeColor="text1"/>
          <w:sz w:val="24"/>
          <w:szCs w:val="24"/>
        </w:rPr>
        <w:t xml:space="preserve">uvo </w:t>
      </w:r>
      <w:r w:rsidR="00513D7A">
        <w:rPr>
          <w:rFonts w:ascii="AvantGarde Bk BT" w:hAnsi="AvantGarde Bk BT" w:cs="Arial"/>
          <w:color w:val="000000" w:themeColor="text1"/>
          <w:sz w:val="24"/>
          <w:szCs w:val="24"/>
        </w:rPr>
        <w:t>al recurrente por omiso en ofrecer pruebas y en rendir manifestaciones en vía de alegatos</w:t>
      </w:r>
      <w:r w:rsidR="00012E2D">
        <w:rPr>
          <w:rFonts w:ascii="AvantGarde Bk BT" w:hAnsi="AvantGarde Bk BT" w:cs="Arial"/>
          <w:color w:val="000000" w:themeColor="text1"/>
          <w:sz w:val="24"/>
          <w:szCs w:val="24"/>
        </w:rPr>
        <w:t>.</w:t>
      </w:r>
    </w:p>
    <w:p w14:paraId="146A04CA" w14:textId="7B13F083" w:rsidR="00906E32" w:rsidRDefault="00BD03EC" w:rsidP="00906E3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4246813D" w14:textId="77777777" w:rsidR="00906E32" w:rsidRDefault="00906E32" w:rsidP="00DF14AD">
      <w:pPr>
        <w:pStyle w:val="corte4fondo"/>
        <w:tabs>
          <w:tab w:val="left" w:pos="567"/>
        </w:tabs>
        <w:ind w:firstLine="0"/>
        <w:rPr>
          <w:rFonts w:ascii="AvantGarde Bk BT" w:hAnsi="AvantGarde Bk BT" w:cs="Arial"/>
          <w:color w:val="000000" w:themeColor="text1"/>
          <w:sz w:val="24"/>
          <w:szCs w:val="24"/>
        </w:rPr>
      </w:pPr>
    </w:p>
    <w:p w14:paraId="25D8E26B"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CONSIDERANDO</w:t>
      </w:r>
    </w:p>
    <w:p w14:paraId="0C72F3DF"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43216906"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058A11B7" w14:textId="72B1E775"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B03285">
        <w:rPr>
          <w:rFonts w:ascii="AvantGarde Bk BT" w:hAnsi="AvantGarde Bk BT" w:cs="Arial"/>
          <w:color w:val="000000" w:themeColor="text1"/>
          <w:sz w:val="24"/>
          <w:szCs w:val="24"/>
        </w:rPr>
        <w:t>19 diecinueve de enero de 2019 dos mil diecinueve</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77305339"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F4586F">
        <w:rPr>
          <w:rFonts w:ascii="AvantGarde Bk BT" w:hAnsi="AvantGarde Bk BT" w:cs="Arial"/>
          <w:color w:val="000000" w:themeColor="text1"/>
          <w:sz w:val="24"/>
          <w:szCs w:val="24"/>
        </w:rPr>
        <w:t xml:space="preserve">El sujeto obligado </w:t>
      </w:r>
      <w:r w:rsidR="00B03285">
        <w:rPr>
          <w:rFonts w:ascii="AvantGarde Bk BT" w:hAnsi="AvantGarde Bk BT" w:cs="Arial"/>
          <w:color w:val="000000" w:themeColor="text1"/>
          <w:sz w:val="24"/>
          <w:szCs w:val="24"/>
        </w:rPr>
        <w:t>fue omiso en dar contestación a la solicitud planteada por el particular</w:t>
      </w:r>
      <w:r w:rsidR="0048065E">
        <w:rPr>
          <w:rFonts w:ascii="AvantGarde Bk BT" w:hAnsi="AvantGarde Bk BT" w:cs="Arial"/>
          <w:color w:val="000000" w:themeColor="text1"/>
          <w:sz w:val="24"/>
          <w:szCs w:val="24"/>
        </w:rPr>
        <w:t>.</w:t>
      </w:r>
    </w:p>
    <w:p w14:paraId="31473C44" w14:textId="0282358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Por lo tanto, el plazo de los quince días hábiles para interponer el recurso de revisión transcurrió del </w:t>
      </w:r>
      <w:r w:rsidR="00B03285">
        <w:rPr>
          <w:rFonts w:ascii="AvantGarde Bk BT" w:hAnsi="AvantGarde Bk BT" w:cs="Arial"/>
          <w:color w:val="000000" w:themeColor="text1"/>
          <w:sz w:val="24"/>
          <w:szCs w:val="24"/>
        </w:rPr>
        <w:t>05 cinco al 25 veinticinco de febrero</w:t>
      </w:r>
      <w:r w:rsidR="00513D7A">
        <w:rPr>
          <w:rFonts w:ascii="AvantGarde Bk BT" w:hAnsi="AvantGarde Bk BT" w:cs="Arial"/>
          <w:color w:val="000000" w:themeColor="text1"/>
          <w:sz w:val="24"/>
          <w:szCs w:val="24"/>
        </w:rPr>
        <w:t xml:space="preserve"> </w:t>
      </w:r>
      <w:r w:rsidR="006941E3">
        <w:rPr>
          <w:rFonts w:ascii="AvantGarde Bk BT" w:hAnsi="AvantGarde Bk BT" w:cs="Arial"/>
          <w:color w:val="000000" w:themeColor="text1"/>
          <w:sz w:val="24"/>
          <w:szCs w:val="24"/>
        </w:rPr>
        <w:t>del 2019 dos mil diecinueve</w:t>
      </w:r>
      <w:r w:rsidRPr="00EA2555">
        <w:rPr>
          <w:rFonts w:ascii="AvantGarde Bk BT" w:hAnsi="AvantGarde Bk BT" w:cs="Arial"/>
          <w:color w:val="000000" w:themeColor="text1"/>
          <w:sz w:val="24"/>
          <w:szCs w:val="24"/>
        </w:rPr>
        <w:t>.</w:t>
      </w:r>
    </w:p>
    <w:p w14:paraId="14DFC649" w14:textId="3A8BE22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C93A9F" w:rsidRPr="00EA2555">
        <w:rPr>
          <w:rFonts w:ascii="AvantGarde Bk BT" w:hAnsi="AvantGarde Bk BT" w:cs="Arial"/>
          <w:color w:val="000000" w:themeColor="text1"/>
          <w:sz w:val="24"/>
          <w:szCs w:val="24"/>
        </w:rPr>
        <w:t>días</w:t>
      </w:r>
      <w:r w:rsidR="00C93A9F">
        <w:rPr>
          <w:rFonts w:ascii="AvantGarde Bk BT" w:hAnsi="AvantGarde Bk BT" w:cs="Arial"/>
          <w:color w:val="000000" w:themeColor="text1"/>
          <w:sz w:val="24"/>
          <w:szCs w:val="24"/>
        </w:rPr>
        <w:t xml:space="preserve"> </w:t>
      </w:r>
      <w:r w:rsidR="00B03285">
        <w:rPr>
          <w:rFonts w:ascii="AvantGarde Bk BT" w:hAnsi="AvantGarde Bk BT" w:cs="Arial"/>
          <w:color w:val="000000" w:themeColor="text1"/>
          <w:sz w:val="24"/>
          <w:szCs w:val="24"/>
        </w:rPr>
        <w:t xml:space="preserve">09 nueve, 10 diez, 16 dieciséis, 17 diecisiete, 23 veintitrés y 24 veinticuatro de febrero </w:t>
      </w:r>
      <w:r w:rsidR="006941E3">
        <w:rPr>
          <w:rFonts w:ascii="AvantGarde Bk BT" w:hAnsi="AvantGarde Bk BT" w:cs="Arial"/>
          <w:color w:val="000000" w:themeColor="text1"/>
          <w:sz w:val="24"/>
          <w:szCs w:val="24"/>
        </w:rPr>
        <w:t xml:space="preserve">de 2019 dos mil diecinueve, </w:t>
      </w:r>
      <w:r w:rsidRPr="00EA2555">
        <w:rPr>
          <w:rFonts w:ascii="AvantGarde Bk BT" w:hAnsi="AvantGarde Bk BT" w:cs="Arial"/>
          <w:color w:val="000000" w:themeColor="text1"/>
          <w:sz w:val="24"/>
          <w:szCs w:val="24"/>
        </w:rPr>
        <w:t>por ser inhábiles.</w:t>
      </w:r>
    </w:p>
    <w:p w14:paraId="67C6A03B" w14:textId="58D129FE"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B03285">
        <w:rPr>
          <w:rFonts w:ascii="AvantGarde Bk BT" w:hAnsi="AvantGarde Bk BT" w:cs="Arial"/>
          <w:color w:val="000000" w:themeColor="text1"/>
          <w:sz w:val="24"/>
          <w:szCs w:val="24"/>
        </w:rPr>
        <w:t>07 siete de febrero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0EEF0FD" w14:textId="77777777"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A00A4D" w14:textId="77777777" w:rsidR="008540CA" w:rsidRDefault="008540CA" w:rsidP="00E215D2">
      <w:pPr>
        <w:pStyle w:val="corte4fondo"/>
        <w:tabs>
          <w:tab w:val="left" w:pos="567"/>
        </w:tabs>
        <w:rPr>
          <w:rFonts w:ascii="AvantGarde Bk BT" w:hAnsi="AvantGarde Bk BT" w:cs="Arial"/>
          <w:color w:val="000000" w:themeColor="text1"/>
          <w:sz w:val="24"/>
          <w:szCs w:val="24"/>
        </w:rPr>
      </w:pPr>
    </w:p>
    <w:p w14:paraId="37BEE558" w14:textId="1F9FCC13" w:rsidR="0048065E" w:rsidRDefault="00AA7BDA" w:rsidP="00E215D2">
      <w:pPr>
        <w:pStyle w:val="corte4fondo"/>
        <w:tabs>
          <w:tab w:val="left" w:pos="567"/>
        </w:tabs>
        <w:rPr>
          <w:rFonts w:ascii="AvantGarde Bk BT" w:hAnsi="AvantGarde Bk BT" w:cs="Arial"/>
          <w:color w:val="000000" w:themeColor="text1"/>
          <w:sz w:val="24"/>
          <w:szCs w:val="24"/>
        </w:rPr>
      </w:pPr>
      <w:r w:rsidRPr="003E4824">
        <w:rPr>
          <w:rFonts w:ascii="AvantGarde Bk BT" w:hAnsi="AvantGarde Bk BT" w:cs="Arial"/>
          <w:color w:val="000000" w:themeColor="text1"/>
          <w:sz w:val="24"/>
          <w:szCs w:val="24"/>
        </w:rPr>
        <w:t xml:space="preserve">En el caso que nos ocupa, el hoy recurrente </w:t>
      </w:r>
      <w:r w:rsidR="0048065E" w:rsidRPr="003E4824">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5064C646" w14:textId="77777777" w:rsidR="00C93A9F" w:rsidRDefault="00C93A9F" w:rsidP="00E215D2">
      <w:pPr>
        <w:pStyle w:val="corte4fondo"/>
        <w:tabs>
          <w:tab w:val="left" w:pos="567"/>
        </w:tabs>
        <w:rPr>
          <w:rFonts w:ascii="AvantGarde Bk BT" w:hAnsi="AvantGarde Bk BT" w:cs="Arial"/>
          <w:color w:val="000000" w:themeColor="text1"/>
          <w:sz w:val="24"/>
          <w:szCs w:val="24"/>
        </w:rPr>
      </w:pPr>
    </w:p>
    <w:p w14:paraId="417AD2EB" w14:textId="5CCD1376" w:rsidR="0048065E" w:rsidRPr="002B26D2" w:rsidRDefault="0048065E" w:rsidP="00B75674">
      <w:pPr>
        <w:pStyle w:val="corte4fondo"/>
        <w:tabs>
          <w:tab w:val="left" w:pos="567"/>
        </w:tabs>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t>“</w:t>
      </w:r>
      <w:proofErr w:type="spellStart"/>
      <w:r w:rsidR="00B75674">
        <w:rPr>
          <w:rFonts w:ascii="AvantGarde Bk BT" w:hAnsi="AvantGarde Bk BT" w:cs="Arial"/>
          <w:i/>
          <w:color w:val="000000" w:themeColor="text1"/>
          <w:sz w:val="24"/>
          <w:szCs w:val="24"/>
        </w:rPr>
        <w:t>Solucito</w:t>
      </w:r>
      <w:proofErr w:type="spellEnd"/>
      <w:r w:rsidR="006941E3" w:rsidRPr="006941E3">
        <w:rPr>
          <w:rFonts w:ascii="AvantGarde Bk BT" w:hAnsi="AvantGarde Bk BT" w:cs="Arial"/>
          <w:i/>
          <w:color w:val="000000" w:themeColor="text1"/>
          <w:sz w:val="24"/>
          <w:szCs w:val="24"/>
        </w:rPr>
        <w:t xml:space="preserve"> </w:t>
      </w:r>
      <w:r w:rsidR="00B75674">
        <w:rPr>
          <w:rFonts w:ascii="AvantGarde Bk BT" w:hAnsi="AvantGarde Bk BT" w:cs="Arial"/>
          <w:i/>
          <w:color w:val="000000" w:themeColor="text1"/>
          <w:sz w:val="24"/>
          <w:szCs w:val="24"/>
        </w:rPr>
        <w:t>el cargo, puesto, suele y funciones de Silvia Jaime Martínez, así como la justificación de lo antes solicitado</w:t>
      </w:r>
      <w:r w:rsidR="005B62B9" w:rsidRPr="005B62B9">
        <w:rPr>
          <w:rFonts w:ascii="AvantGarde Bk BT" w:hAnsi="AvantGarde Bk BT" w:cs="Arial"/>
          <w:i/>
          <w:color w:val="000000" w:themeColor="text1"/>
          <w:sz w:val="24"/>
          <w:szCs w:val="24"/>
        </w:rPr>
        <w:t>.</w:t>
      </w:r>
      <w:r w:rsidRPr="002B26D2">
        <w:rPr>
          <w:rFonts w:ascii="AvantGarde Bk BT" w:hAnsi="AvantGarde Bk BT" w:cs="Arial"/>
          <w:i/>
          <w:color w:val="000000" w:themeColor="text1"/>
          <w:sz w:val="24"/>
          <w:szCs w:val="24"/>
        </w:rPr>
        <w:t>”</w:t>
      </w:r>
      <w:r w:rsidRPr="002B26D2">
        <w:rPr>
          <w:rFonts w:ascii="AvantGarde Bk BT" w:hAnsi="AvantGarde Bk BT" w:cs="Arial"/>
          <w:color w:val="000000" w:themeColor="text1"/>
          <w:sz w:val="24"/>
          <w:szCs w:val="24"/>
        </w:rPr>
        <w:t xml:space="preserve"> (</w:t>
      </w:r>
      <w:r w:rsidR="00343B68" w:rsidRPr="002B26D2">
        <w:rPr>
          <w:rFonts w:ascii="AvantGarde Bk BT" w:hAnsi="AvantGarde Bk BT" w:cs="Arial"/>
          <w:color w:val="000000" w:themeColor="text1"/>
          <w:sz w:val="24"/>
          <w:szCs w:val="24"/>
        </w:rPr>
        <w:t>sic</w:t>
      </w:r>
      <w:r w:rsidRPr="002B26D2">
        <w:rPr>
          <w:rFonts w:ascii="AvantGarde Bk BT" w:hAnsi="AvantGarde Bk BT" w:cs="Arial"/>
          <w:color w:val="000000" w:themeColor="text1"/>
          <w:sz w:val="24"/>
          <w:szCs w:val="24"/>
        </w:rPr>
        <w:t>)</w:t>
      </w:r>
    </w:p>
    <w:p w14:paraId="603D451E" w14:textId="02DFBEAD" w:rsidR="0048065E" w:rsidRPr="0073139A" w:rsidRDefault="0048065E" w:rsidP="00E215D2">
      <w:pPr>
        <w:pStyle w:val="corte4fondo"/>
        <w:tabs>
          <w:tab w:val="left" w:pos="567"/>
        </w:tabs>
        <w:rPr>
          <w:rFonts w:ascii="AvantGarde Bk BT" w:hAnsi="AvantGarde Bk BT" w:cs="Arial"/>
          <w:color w:val="000000" w:themeColor="text1"/>
          <w:sz w:val="24"/>
          <w:szCs w:val="24"/>
          <w:highlight w:val="yellow"/>
        </w:rPr>
      </w:pPr>
    </w:p>
    <w:p w14:paraId="4F9C65CA" w14:textId="40D0C1BD" w:rsidR="00C74762" w:rsidRDefault="00C74762" w:rsidP="00612209">
      <w:pPr>
        <w:pStyle w:val="corte4fondo"/>
        <w:tabs>
          <w:tab w:val="left" w:pos="567"/>
        </w:tabs>
        <w:rPr>
          <w:rFonts w:ascii="AvantGarde Bk BT" w:hAnsi="AvantGarde Bk BT" w:cs="Arial"/>
          <w:color w:val="000000" w:themeColor="text1"/>
          <w:sz w:val="24"/>
          <w:szCs w:val="24"/>
        </w:rPr>
      </w:pPr>
      <w:r w:rsidRPr="00037585">
        <w:rPr>
          <w:rFonts w:ascii="AvantGarde Bk BT" w:hAnsi="AvantGarde Bk BT" w:cs="Arial"/>
          <w:color w:val="000000" w:themeColor="text1"/>
          <w:sz w:val="24"/>
          <w:szCs w:val="24"/>
        </w:rPr>
        <w:t xml:space="preserve">A dicha solicitud </w:t>
      </w:r>
      <w:r w:rsidR="00B75674">
        <w:rPr>
          <w:rFonts w:ascii="AvantGarde Bk BT" w:hAnsi="AvantGarde Bk BT" w:cs="Arial"/>
          <w:color w:val="000000" w:themeColor="text1"/>
          <w:sz w:val="24"/>
          <w:szCs w:val="24"/>
        </w:rPr>
        <w:t xml:space="preserve">no </w:t>
      </w:r>
      <w:r w:rsidRPr="00037585">
        <w:rPr>
          <w:rFonts w:ascii="AvantGarde Bk BT" w:hAnsi="AvantGarde Bk BT" w:cs="Arial"/>
          <w:color w:val="000000" w:themeColor="text1"/>
          <w:sz w:val="24"/>
          <w:szCs w:val="24"/>
        </w:rPr>
        <w:t xml:space="preserve">recayó respuesta </w:t>
      </w:r>
      <w:r w:rsidR="00B75674">
        <w:rPr>
          <w:rFonts w:ascii="AvantGarde Bk BT" w:hAnsi="AvantGarde Bk BT" w:cs="Arial"/>
          <w:color w:val="000000" w:themeColor="text1"/>
          <w:sz w:val="24"/>
          <w:szCs w:val="24"/>
        </w:rPr>
        <w:t>alguna</w:t>
      </w:r>
      <w:r w:rsidR="006941E3">
        <w:rPr>
          <w:rFonts w:ascii="AvantGarde Bk BT" w:hAnsi="AvantGarde Bk BT" w:cs="Arial"/>
          <w:color w:val="000000" w:themeColor="text1"/>
          <w:sz w:val="24"/>
          <w:szCs w:val="24"/>
        </w:rPr>
        <w:t xml:space="preserve"> por parte del </w:t>
      </w:r>
      <w:r w:rsidRPr="00037585">
        <w:rPr>
          <w:rFonts w:ascii="AvantGarde Bk BT" w:hAnsi="AvantGarde Bk BT" w:cs="Arial"/>
          <w:color w:val="000000" w:themeColor="text1"/>
          <w:sz w:val="24"/>
          <w:szCs w:val="24"/>
        </w:rPr>
        <w:t>sujeto obligado</w:t>
      </w:r>
      <w:r w:rsidR="006941E3">
        <w:rPr>
          <w:rFonts w:ascii="AvantGarde Bk BT" w:hAnsi="AvantGarde Bk BT" w:cs="Arial"/>
          <w:color w:val="000000" w:themeColor="text1"/>
          <w:sz w:val="24"/>
          <w:szCs w:val="24"/>
        </w:rPr>
        <w:t xml:space="preserve">, </w:t>
      </w:r>
      <w:r w:rsidR="00612209">
        <w:rPr>
          <w:rFonts w:ascii="AvantGarde Bk BT" w:hAnsi="AvantGarde Bk BT" w:cs="Arial"/>
          <w:color w:val="000000" w:themeColor="text1"/>
          <w:sz w:val="24"/>
          <w:szCs w:val="24"/>
        </w:rPr>
        <w:t>por lo que</w:t>
      </w:r>
      <w:r w:rsidR="0035610D">
        <w:rPr>
          <w:rFonts w:ascii="AvantGarde Bk BT" w:hAnsi="AvantGarde Bk BT" w:cs="Arial"/>
          <w:color w:val="000000" w:themeColor="text1"/>
          <w:sz w:val="24"/>
          <w:szCs w:val="24"/>
        </w:rPr>
        <w:t xml:space="preserve"> </w:t>
      </w:r>
      <w:r w:rsidR="00F4586F">
        <w:rPr>
          <w:rFonts w:ascii="AvantGarde Bk BT" w:hAnsi="AvantGarde Bk BT" w:cs="Arial"/>
          <w:color w:val="000000" w:themeColor="text1"/>
          <w:sz w:val="24"/>
          <w:szCs w:val="24"/>
        </w:rPr>
        <w:t xml:space="preserve">el recurrente se inconformó e interpuso el presente recurso de revisión y manifestó como agravio </w:t>
      </w:r>
      <w:r w:rsidR="00EC3702">
        <w:rPr>
          <w:rFonts w:ascii="AvantGarde Bk BT" w:hAnsi="AvantGarde Bk BT" w:cs="Arial"/>
          <w:color w:val="000000" w:themeColor="text1"/>
          <w:sz w:val="24"/>
          <w:szCs w:val="24"/>
        </w:rPr>
        <w:t>lo siguiente:</w:t>
      </w:r>
    </w:p>
    <w:p w14:paraId="23A53B91" w14:textId="77777777" w:rsidR="00401F70" w:rsidRDefault="00401F70" w:rsidP="00612209">
      <w:pPr>
        <w:pStyle w:val="corte4fondo"/>
        <w:tabs>
          <w:tab w:val="left" w:pos="567"/>
        </w:tabs>
        <w:rPr>
          <w:rFonts w:ascii="AvantGarde Bk BT" w:hAnsi="AvantGarde Bk BT" w:cs="Arial"/>
          <w:color w:val="000000" w:themeColor="text1"/>
          <w:sz w:val="24"/>
          <w:szCs w:val="24"/>
        </w:rPr>
      </w:pPr>
    </w:p>
    <w:p w14:paraId="3CDE3A4B" w14:textId="3B01A2E9" w:rsidR="00343B68" w:rsidRDefault="00EC3702" w:rsidP="00401F70">
      <w:pPr>
        <w:pStyle w:val="corte4fondo"/>
        <w:tabs>
          <w:tab w:val="left" w:pos="567"/>
        </w:tabs>
        <w:rPr>
          <w:rFonts w:ascii="AvantGarde Bk BT" w:hAnsi="AvantGarde Bk BT" w:cs="Arial"/>
          <w:color w:val="000000" w:themeColor="text1"/>
          <w:sz w:val="24"/>
          <w:szCs w:val="24"/>
        </w:rPr>
      </w:pPr>
      <w:r w:rsidRPr="00401F70">
        <w:rPr>
          <w:rFonts w:ascii="AvantGarde Bk BT" w:hAnsi="AvantGarde Bk BT" w:cs="Arial"/>
          <w:i/>
          <w:color w:val="000000" w:themeColor="text1"/>
          <w:sz w:val="24"/>
          <w:szCs w:val="24"/>
        </w:rPr>
        <w:lastRenderedPageBreak/>
        <w:t xml:space="preserve">“Por medio del presente, conforme a los arábigos 166, 167, fracción VI, 168 y demás relativos a la Ley de transparencia y acceso a la información pública del Estado de San Luis Potosí, interpongo el presente recurso de revisión por la falta de respuesta en los términos señalados por la ley antes mencionada. Ofreciendo como prueba la solicitud base del presente recurso, presunción legal y humana e instrumental de actuaciones. Así mismo hay que señalar que dicho sujeto obligado interpuso una prórroga para realizar su contestación la cual conforme al artículo 154 párrafo segundo de la Ley de Transparencia y Acceso a la Información Pública en el Estado, debe ser notificada con su fundamentación y motivación la cual no menciona en su notificación por lo cual se considera infundada y carente de motivación. De la misma manera omite el procedimiento que señala el precepto anteriormente señalado, ya que no se realizó la solicitud al comité de transparencia, la cual es la única facultada </w:t>
      </w:r>
      <w:r w:rsidR="00401F70" w:rsidRPr="00401F70">
        <w:rPr>
          <w:rFonts w:ascii="AvantGarde Bk BT" w:hAnsi="AvantGarde Bk BT" w:cs="Arial"/>
          <w:i/>
          <w:color w:val="000000" w:themeColor="text1"/>
          <w:sz w:val="24"/>
          <w:szCs w:val="24"/>
        </w:rPr>
        <w:t>para aprobar dicha prórroga por medio de una resolución, considerando de ilegal dicha actuación del partido morena al omitir dicho procedimiento. Cabe menciona que dicha prórroga ilegal fue notificada, ya fenecido el término de 10 días para realizar su contestación.”</w:t>
      </w:r>
      <w:r w:rsidR="00401F70">
        <w:rPr>
          <w:rFonts w:ascii="AvantGarde Bk BT" w:hAnsi="AvantGarde Bk BT" w:cs="Arial"/>
          <w:i/>
          <w:color w:val="000000" w:themeColor="text1"/>
          <w:sz w:val="24"/>
          <w:szCs w:val="24"/>
        </w:rPr>
        <w:t xml:space="preserve"> </w:t>
      </w:r>
      <w:r w:rsidR="00343B68">
        <w:rPr>
          <w:rFonts w:ascii="AvantGarde Bk BT" w:hAnsi="AvantGarde Bk BT" w:cs="Arial"/>
          <w:color w:val="000000" w:themeColor="text1"/>
          <w:sz w:val="24"/>
          <w:szCs w:val="24"/>
        </w:rPr>
        <w:t>(sic)</w:t>
      </w:r>
    </w:p>
    <w:p w14:paraId="242F0FA3" w14:textId="77777777" w:rsidR="005B62B9" w:rsidRDefault="005B62B9" w:rsidP="005B62B9">
      <w:pPr>
        <w:pStyle w:val="corte4fondo"/>
        <w:tabs>
          <w:tab w:val="left" w:pos="567"/>
        </w:tabs>
        <w:rPr>
          <w:rFonts w:ascii="AvantGarde Bk BT" w:hAnsi="AvantGarde Bk BT" w:cs="Arial"/>
          <w:color w:val="000000" w:themeColor="text1"/>
          <w:sz w:val="24"/>
          <w:szCs w:val="24"/>
        </w:rPr>
      </w:pPr>
    </w:p>
    <w:p w14:paraId="703F04B2" w14:textId="5F24FBB9" w:rsidR="00581442" w:rsidRDefault="0035610D" w:rsidP="005B1D20">
      <w:pPr>
        <w:pStyle w:val="corte4fondo"/>
        <w:tabs>
          <w:tab w:val="left" w:pos="567"/>
        </w:tabs>
        <w:ind w:firstLine="708"/>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w:t>
      </w:r>
      <w:r w:rsidR="00581442">
        <w:rPr>
          <w:rFonts w:ascii="AvantGarde Bk BT" w:hAnsi="AvantGarde Bk BT" w:cs="Arial"/>
          <w:color w:val="000000" w:themeColor="text1"/>
          <w:sz w:val="24"/>
          <w:szCs w:val="24"/>
        </w:rPr>
        <w:t>lado, el</w:t>
      </w:r>
      <w:r w:rsidR="005B1D20">
        <w:rPr>
          <w:rFonts w:ascii="AvantGarde Bk BT" w:hAnsi="AvantGarde Bk BT" w:cs="Arial"/>
          <w:color w:val="000000" w:themeColor="text1"/>
          <w:sz w:val="24"/>
          <w:szCs w:val="24"/>
        </w:rPr>
        <w:t xml:space="preserve"> sujeto obligado al momento de rendir el informe ordenado en el auto de </w:t>
      </w:r>
      <w:r w:rsidR="00581442">
        <w:rPr>
          <w:rFonts w:ascii="AvantGarde Bk BT" w:hAnsi="AvantGarde Bk BT" w:cs="Arial"/>
          <w:color w:val="000000" w:themeColor="text1"/>
          <w:sz w:val="24"/>
          <w:szCs w:val="24"/>
        </w:rPr>
        <w:t>admisión, señaló</w:t>
      </w:r>
      <w:r>
        <w:rPr>
          <w:rFonts w:ascii="AvantGarde Bk BT" w:hAnsi="AvantGarde Bk BT" w:cs="Arial"/>
          <w:color w:val="000000" w:themeColor="text1"/>
          <w:sz w:val="24"/>
          <w:szCs w:val="24"/>
        </w:rPr>
        <w:t xml:space="preserve"> que la respuesta había sido entregada en tiempo</w:t>
      </w:r>
      <w:r w:rsidR="00581442">
        <w:rPr>
          <w:rFonts w:ascii="AvantGarde Bk BT" w:hAnsi="AvantGarde Bk BT" w:cs="Arial"/>
          <w:color w:val="000000" w:themeColor="text1"/>
          <w:sz w:val="24"/>
          <w:szCs w:val="24"/>
        </w:rPr>
        <w:t xml:space="preserve">, por lo que este cuerpo colegiado procedió a analizar si dicha respuesta aparece el sistema </w:t>
      </w:r>
      <w:proofErr w:type="spellStart"/>
      <w:r w:rsidR="00581442">
        <w:rPr>
          <w:rFonts w:ascii="AvantGarde Bk BT" w:hAnsi="AvantGarde Bk BT" w:cs="Arial"/>
          <w:color w:val="000000" w:themeColor="text1"/>
          <w:sz w:val="24"/>
          <w:szCs w:val="24"/>
        </w:rPr>
        <w:t>infomex</w:t>
      </w:r>
      <w:proofErr w:type="spellEnd"/>
      <w:r w:rsidR="00581442">
        <w:rPr>
          <w:rFonts w:ascii="AvantGarde Bk BT" w:hAnsi="AvantGarde Bk BT" w:cs="Arial"/>
          <w:color w:val="000000" w:themeColor="text1"/>
          <w:sz w:val="24"/>
          <w:szCs w:val="24"/>
        </w:rPr>
        <w:t>, revisión que arrojó lo siguiente:</w:t>
      </w:r>
    </w:p>
    <w:p w14:paraId="0726EA40" w14:textId="27A493E8" w:rsidR="0035610D" w:rsidRDefault="0035610D" w:rsidP="005B1D20">
      <w:pPr>
        <w:pStyle w:val="corte4fondo"/>
        <w:tabs>
          <w:tab w:val="left" w:pos="567"/>
        </w:tabs>
        <w:ind w:firstLine="708"/>
        <w:rPr>
          <w:rFonts w:ascii="AvantGarde Bk BT" w:hAnsi="AvantGarde Bk BT" w:cs="Arial"/>
          <w:color w:val="000000" w:themeColor="text1"/>
          <w:sz w:val="24"/>
          <w:szCs w:val="24"/>
        </w:rPr>
      </w:pPr>
    </w:p>
    <w:p w14:paraId="085100DD" w14:textId="28D9D681" w:rsidR="005512E3" w:rsidRDefault="00C03578" w:rsidP="0035610D">
      <w:pPr>
        <w:pStyle w:val="corte4fondo"/>
        <w:tabs>
          <w:tab w:val="left" w:pos="567"/>
        </w:tabs>
        <w:ind w:firstLine="0"/>
        <w:rPr>
          <w:rFonts w:ascii="AvantGarde Bk BT" w:hAnsi="AvantGarde Bk BT" w:cs="Arial"/>
          <w:color w:val="000000" w:themeColor="text1"/>
          <w:sz w:val="24"/>
          <w:szCs w:val="24"/>
        </w:rPr>
      </w:pPr>
      <w:r>
        <w:rPr>
          <w:noProof/>
        </w:rPr>
        <w:lastRenderedPageBreak/>
        <w:drawing>
          <wp:anchor distT="0" distB="0" distL="114300" distR="114300" simplePos="0" relativeHeight="251658240" behindDoc="0" locked="0" layoutInCell="1" allowOverlap="1" wp14:anchorId="3C13C51F" wp14:editId="46B73780">
            <wp:simplePos x="0" y="0"/>
            <wp:positionH relativeFrom="margin">
              <wp:align>left</wp:align>
            </wp:positionH>
            <wp:positionV relativeFrom="paragraph">
              <wp:posOffset>635</wp:posOffset>
            </wp:positionV>
            <wp:extent cx="6269355" cy="33337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427" t="3286" b="4485"/>
                    <a:stretch/>
                  </pic:blipFill>
                  <pic:spPr bwMode="auto">
                    <a:xfrm>
                      <a:off x="0" y="0"/>
                      <a:ext cx="6269355" cy="3333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79BB4F" w14:textId="0F3CFBD2" w:rsidR="003F00CD" w:rsidRDefault="003F00CD" w:rsidP="004021F3">
      <w:pPr>
        <w:pStyle w:val="corte4fondo"/>
        <w:tabs>
          <w:tab w:val="left" w:pos="567"/>
        </w:tabs>
        <w:ind w:firstLine="0"/>
        <w:rPr>
          <w:rFonts w:ascii="AvantGarde Bk BT" w:hAnsi="AvantGarde Bk BT" w:cs="Arial"/>
          <w:color w:val="000000" w:themeColor="text1"/>
          <w:sz w:val="24"/>
          <w:szCs w:val="24"/>
        </w:rPr>
      </w:pPr>
    </w:p>
    <w:p w14:paraId="7620EA80" w14:textId="2600BD5B" w:rsidR="001F5A51" w:rsidRPr="001F5A51" w:rsidRDefault="0035610D" w:rsidP="00DD03B0">
      <w:pPr>
        <w:spacing w:line="360" w:lineRule="auto"/>
        <w:ind w:firstLine="709"/>
        <w:jc w:val="both"/>
        <w:rPr>
          <w:rFonts w:ascii="AvantGarde Bk BT" w:hAnsi="AvantGarde Bk BT" w:cs="Arial"/>
          <w:color w:val="000000" w:themeColor="text1"/>
          <w:sz w:val="24"/>
          <w:szCs w:val="24"/>
        </w:rPr>
      </w:pPr>
      <w:r w:rsidRPr="001F5A51">
        <w:rPr>
          <w:rFonts w:ascii="AvantGarde Bk BT" w:hAnsi="AvantGarde Bk BT" w:cs="Arial"/>
          <w:color w:val="000000" w:themeColor="text1"/>
          <w:sz w:val="24"/>
          <w:szCs w:val="24"/>
        </w:rPr>
        <w:t>En este contexto, resulta</w:t>
      </w:r>
      <w:r w:rsidR="001F5A51" w:rsidRPr="001F5A51">
        <w:rPr>
          <w:rFonts w:ascii="AvantGarde Bk BT" w:hAnsi="AvantGarde Bk BT" w:cs="Arial"/>
          <w:color w:val="000000" w:themeColor="text1"/>
          <w:sz w:val="24"/>
          <w:szCs w:val="24"/>
        </w:rPr>
        <w:t xml:space="preserve"> evidente que el sujeto obligado no dio contestación a la solicitud planteada por el particular.</w:t>
      </w:r>
    </w:p>
    <w:p w14:paraId="6F2135C7" w14:textId="77777777" w:rsidR="00DA1E23" w:rsidRPr="00DA1E23" w:rsidRDefault="0029256C" w:rsidP="001B46C0">
      <w:pPr>
        <w:spacing w:line="360" w:lineRule="auto"/>
        <w:ind w:firstLine="709"/>
        <w:jc w:val="both"/>
        <w:rPr>
          <w:rFonts w:ascii="AvantGarde Bk BT" w:hAnsi="AvantGarde Bk BT" w:cs="Arial"/>
          <w:color w:val="000000" w:themeColor="text1"/>
          <w:lang w:val="es-ES"/>
        </w:rPr>
      </w:pPr>
      <w:r w:rsidRPr="00DA1E23">
        <w:rPr>
          <w:rFonts w:ascii="AvantGarde Bk BT" w:hAnsi="AvantGarde Bk BT" w:cs="Arial"/>
          <w:color w:val="000000" w:themeColor="text1"/>
          <w:sz w:val="24"/>
          <w:szCs w:val="24"/>
        </w:rPr>
        <w:t>Pues bien, en primer término, se debe precisar que de la solicitud de información presentada por el particular se puede hacer dos interpretaciones respecto de “</w:t>
      </w:r>
      <w:r w:rsidRPr="00DA1E23">
        <w:rPr>
          <w:rFonts w:ascii="AvantGarde Bk BT" w:hAnsi="AvantGarde Bk BT" w:cs="Arial"/>
          <w:i/>
          <w:color w:val="000000" w:themeColor="text1"/>
          <w:sz w:val="24"/>
          <w:szCs w:val="24"/>
        </w:rPr>
        <w:t xml:space="preserve">así como la justificación de lo antes solicitado”, </w:t>
      </w:r>
      <w:r w:rsidRPr="00DA1E23">
        <w:rPr>
          <w:rFonts w:ascii="AvantGarde Bk BT" w:hAnsi="AvantGarde Bk BT" w:cs="Arial"/>
          <w:color w:val="000000" w:themeColor="text1"/>
          <w:sz w:val="24"/>
          <w:szCs w:val="24"/>
        </w:rPr>
        <w:t xml:space="preserve">pues </w:t>
      </w:r>
      <w:r w:rsidR="00136ED0" w:rsidRPr="00DA1E23">
        <w:rPr>
          <w:rFonts w:ascii="AvantGarde Bk BT" w:hAnsi="AvantGarde Bk BT" w:cs="Arial"/>
          <w:color w:val="000000" w:themeColor="text1"/>
          <w:sz w:val="24"/>
          <w:szCs w:val="24"/>
        </w:rPr>
        <w:t xml:space="preserve">en la primera de dichas interpretaciones se puede entender que el particular requiere saber los motivos de la designación de la funcionaria Silvia Jaime Martínez; sin </w:t>
      </w:r>
      <w:r w:rsidR="00202F53" w:rsidRPr="00DA1E23">
        <w:rPr>
          <w:rFonts w:ascii="AvantGarde Bk BT" w:hAnsi="AvantGarde Bk BT" w:cs="Arial"/>
          <w:color w:val="000000" w:themeColor="text1"/>
          <w:sz w:val="24"/>
          <w:szCs w:val="24"/>
        </w:rPr>
        <w:t>embargo,</w:t>
      </w:r>
      <w:r w:rsidR="00136ED0">
        <w:rPr>
          <w:rFonts w:ascii="AvantGarde Bk BT" w:hAnsi="AvantGarde Bk BT" w:cs="Arial"/>
          <w:color w:val="000000" w:themeColor="text1"/>
          <w:sz w:val="24"/>
          <w:szCs w:val="24"/>
        </w:rPr>
        <w:t xml:space="preserve"> </w:t>
      </w:r>
      <w:r w:rsidR="00202F53">
        <w:rPr>
          <w:rFonts w:ascii="AvantGarde Bk BT" w:hAnsi="AvantGarde Bk BT" w:cs="Arial"/>
          <w:color w:val="000000" w:themeColor="text1"/>
          <w:sz w:val="24"/>
          <w:szCs w:val="24"/>
        </w:rPr>
        <w:t xml:space="preserve">dicha </w:t>
      </w:r>
      <w:r w:rsidR="00DA1E23">
        <w:rPr>
          <w:rFonts w:ascii="AvantGarde Bk BT" w:hAnsi="AvantGarde Bk BT" w:cs="Arial"/>
          <w:color w:val="000000" w:themeColor="text1"/>
          <w:sz w:val="24"/>
          <w:szCs w:val="24"/>
        </w:rPr>
        <w:t>interpretación encuadra</w:t>
      </w:r>
      <w:r w:rsidR="00202F53">
        <w:rPr>
          <w:rFonts w:ascii="AvantGarde Bk BT" w:hAnsi="AvantGarde Bk BT" w:cs="Arial"/>
          <w:color w:val="000000" w:themeColor="text1"/>
          <w:sz w:val="24"/>
          <w:szCs w:val="24"/>
        </w:rPr>
        <w:t xml:space="preserve"> en derecho de petici</w:t>
      </w:r>
      <w:r w:rsidR="00DA1E23">
        <w:rPr>
          <w:rFonts w:ascii="AvantGarde Bk BT" w:hAnsi="AvantGarde Bk BT" w:cs="Arial"/>
          <w:color w:val="000000" w:themeColor="text1"/>
          <w:sz w:val="24"/>
          <w:szCs w:val="24"/>
        </w:rPr>
        <w:t xml:space="preserve">ón </w:t>
      </w:r>
      <w:r w:rsidR="00DA1E23" w:rsidRPr="00223F4A">
        <w:rPr>
          <w:rFonts w:ascii="AvantGarde Bk BT" w:hAnsi="AvantGarde Bk BT" w:cs="Arial"/>
          <w:color w:val="000000" w:themeColor="text1"/>
          <w:sz w:val="24"/>
          <w:lang w:val="es-ES"/>
        </w:rPr>
        <w:t>consagrado en el artículo 8° de la Constitución Federal, pues por más que en cuanto a la forma se haya seguido como si fuera una solicitud de acceso a la información pública en los términos y requisitos de la Ley de Transparencia, lo cierto es que, de sus propias manifestaciones, se advierte que lo que pidió es que la autoridad le responda sus inquietudes, al requerir la opinión personal del servidor público respecto a un tema determinado.</w:t>
      </w:r>
    </w:p>
    <w:p w14:paraId="32BB8A65" w14:textId="77777777" w:rsidR="00BB69B8" w:rsidRDefault="00223F4A" w:rsidP="00BB69B8">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Bajo este supuesto interpretativo se colige que, de conformidad con el artículo </w:t>
      </w:r>
      <w:r w:rsidR="001B46C0">
        <w:rPr>
          <w:rFonts w:ascii="AvantGarde Bk BT" w:hAnsi="AvantGarde Bk BT" w:cs="Arial"/>
          <w:color w:val="000000" w:themeColor="text1"/>
          <w:sz w:val="24"/>
          <w:szCs w:val="24"/>
        </w:rPr>
        <w:t xml:space="preserve">179, fracción VII </w:t>
      </w:r>
      <w:r w:rsidR="001B46C0">
        <w:rPr>
          <w:rStyle w:val="Refdenotaalpie"/>
          <w:rFonts w:ascii="AvantGarde Bk BT" w:hAnsi="AvantGarde Bk BT" w:cs="Arial"/>
          <w:color w:val="000000" w:themeColor="text1"/>
          <w:sz w:val="24"/>
          <w:szCs w:val="24"/>
        </w:rPr>
        <w:footnoteReference w:id="1"/>
      </w:r>
      <w:r w:rsidR="001B46C0">
        <w:rPr>
          <w:rFonts w:ascii="AvantGarde Bk BT" w:hAnsi="AvantGarde Bk BT" w:cs="Arial"/>
          <w:color w:val="000000" w:themeColor="text1"/>
          <w:sz w:val="24"/>
          <w:szCs w:val="24"/>
        </w:rPr>
        <w:t>con relación al artículo 180, fracción IV</w:t>
      </w:r>
      <w:r w:rsidR="001B46C0">
        <w:rPr>
          <w:rStyle w:val="Refdenotaalpie"/>
          <w:rFonts w:ascii="AvantGarde Bk BT" w:hAnsi="AvantGarde Bk BT" w:cs="Arial"/>
          <w:color w:val="000000" w:themeColor="text1"/>
          <w:sz w:val="24"/>
          <w:szCs w:val="24"/>
        </w:rPr>
        <w:footnoteReference w:id="2"/>
      </w:r>
      <w:r w:rsidR="001B46C0">
        <w:rPr>
          <w:rFonts w:ascii="AvantGarde Bk BT" w:hAnsi="AvantGarde Bk BT" w:cs="Arial"/>
          <w:color w:val="000000" w:themeColor="text1"/>
          <w:sz w:val="24"/>
          <w:szCs w:val="24"/>
        </w:rPr>
        <w:t>, el recurso de revisión tendría que ser sobreseído en parte – por lo que atañe a dicha fragmento de la solicitud-, por tratarse de una consulta y no de derecho de acceso a la información</w:t>
      </w:r>
      <w:r w:rsidR="00BB69B8">
        <w:rPr>
          <w:rFonts w:ascii="AvantGarde Bk BT" w:hAnsi="AvantGarde Bk BT" w:cs="Arial"/>
          <w:color w:val="000000" w:themeColor="text1"/>
          <w:sz w:val="24"/>
          <w:szCs w:val="24"/>
        </w:rPr>
        <w:t>.</w:t>
      </w:r>
    </w:p>
    <w:p w14:paraId="0D128F91" w14:textId="77777777" w:rsidR="00BB69B8" w:rsidRPr="00BB69B8" w:rsidRDefault="00BB69B8" w:rsidP="00BB69B8">
      <w:pPr>
        <w:spacing w:line="360" w:lineRule="auto"/>
        <w:ind w:firstLine="709"/>
        <w:jc w:val="both"/>
        <w:rPr>
          <w:rFonts w:ascii="AvantGarde Bk BT" w:hAnsi="AvantGarde Bk BT" w:cs="Arial"/>
          <w:color w:val="000000" w:themeColor="text1"/>
          <w:sz w:val="24"/>
          <w:szCs w:val="24"/>
        </w:rPr>
      </w:pPr>
      <w:r w:rsidRPr="00BB69B8">
        <w:rPr>
          <w:rFonts w:ascii="AvantGarde Bk BT" w:hAnsi="AvantGarde Bk BT" w:cs="Arial"/>
          <w:color w:val="000000" w:themeColor="text1"/>
          <w:sz w:val="24"/>
          <w:szCs w:val="24"/>
        </w:rPr>
        <w:t xml:space="preserve">Sirve de apoyo a lo anterior la jurisprudencia 2a./J. 4/2012 (10a.), sostenida por la Segunda Sala de la Suprema Corte de Justicia de la Nación, localizable en el Semanario Judicial de la Federación y su Gaceta, Décima Época, marzo de 2012, en el Libro VI, Tomo 1, página 352, materia común, en cuanto a que ésta es clara al referir que el derecho de petición no se rige por las leyes de transparencia, cuyo rubro y texto es: </w:t>
      </w:r>
    </w:p>
    <w:p w14:paraId="2DB5E653" w14:textId="6F97F562" w:rsidR="00BB69B8" w:rsidRPr="0029256C" w:rsidRDefault="00BB69B8" w:rsidP="00BB69B8">
      <w:pPr>
        <w:spacing w:line="360" w:lineRule="auto"/>
        <w:ind w:firstLine="709"/>
        <w:jc w:val="both"/>
        <w:rPr>
          <w:rFonts w:ascii="AvantGarde Bk BT" w:hAnsi="AvantGarde Bk BT" w:cs="Arial"/>
          <w:color w:val="000000" w:themeColor="text1"/>
          <w:sz w:val="24"/>
          <w:szCs w:val="24"/>
        </w:rPr>
      </w:pPr>
      <w:r w:rsidRPr="00BB69B8">
        <w:rPr>
          <w:rFonts w:ascii="AvantGarde Bk BT" w:hAnsi="AvantGarde Bk BT" w:cs="Arial"/>
          <w:color w:val="000000" w:themeColor="text1"/>
          <w:sz w:val="24"/>
          <w:szCs w:val="24"/>
        </w:rPr>
        <w:br/>
      </w:r>
      <w:r w:rsidRPr="00BB69B8">
        <w:rPr>
          <w:rFonts w:ascii="AvantGarde Bk BT" w:hAnsi="AvantGarde Bk BT" w:cs="Arial"/>
          <w:i/>
          <w:color w:val="000000" w:themeColor="text1"/>
          <w:sz w:val="24"/>
          <w:szCs w:val="24"/>
        </w:rPr>
        <w:t>“</w:t>
      </w:r>
      <w:r w:rsidRPr="00BB69B8">
        <w:rPr>
          <w:rFonts w:ascii="AvantGarde Bk BT" w:hAnsi="AvantGarde Bk BT" w:cs="Arial"/>
          <w:b/>
          <w:bCs/>
          <w:i/>
          <w:iCs/>
          <w:color w:val="000000" w:themeColor="text1"/>
          <w:sz w:val="24"/>
          <w:szCs w:val="24"/>
        </w:rPr>
        <w:t>ACCESO A LA INFORMACIÓN. EL JUICIO DE AMPARO PROCEDE CONTRA LA OMISIÓN DE LA AUTORIDAD DE DAR RESPUESTA A UNA SOLICITUD DE ESA NATURALEZA, CUANDO SE ALEGA EN LA DEMANDA VIOLACIÓN DIRECTA AL DERECHO DE PETICIÓN (LEGISLACIONES DE SAN LUIS POTOSÍ Y FEDERAL)</w:t>
      </w:r>
      <w:r w:rsidRPr="00BB69B8">
        <w:rPr>
          <w:rFonts w:ascii="AvantGarde Bk BT" w:hAnsi="AvantGarde Bk BT" w:cs="Arial"/>
          <w:i/>
          <w:iCs/>
          <w:color w:val="000000" w:themeColor="text1"/>
          <w:sz w:val="24"/>
          <w:szCs w:val="24"/>
        </w:rPr>
        <w:t>.</w:t>
      </w:r>
      <w:r>
        <w:rPr>
          <w:rFonts w:ascii="AvantGarde Bk BT" w:hAnsi="AvantGarde Bk BT" w:cs="Arial"/>
          <w:i/>
          <w:iCs/>
          <w:color w:val="000000" w:themeColor="text1"/>
          <w:sz w:val="24"/>
          <w:szCs w:val="24"/>
        </w:rPr>
        <w:t xml:space="preserve">- </w:t>
      </w:r>
      <w:r w:rsidRPr="00BB69B8">
        <w:rPr>
          <w:rFonts w:ascii="AvantGarde Bk BT" w:hAnsi="AvantGarde Bk BT" w:cs="Arial"/>
          <w:i/>
          <w:iCs/>
          <w:color w:val="000000" w:themeColor="text1"/>
          <w:sz w:val="24"/>
          <w:szCs w:val="24"/>
        </w:rPr>
        <w:t xml:space="preserve"> Si bien es cierto que los artículos 74 y 75 de la Ley de Transparencia y Acceso a la Información Pública del Estado de San Luis Potosí, así como los diversos 53 de la Ley Federal de Transparencia y Acceso a la Información Pública Gubernamental y 93 de su reglamento regulan, a través de un medio de defensa o mediante un procedimiento, cómo debe respetarse el derecho de acceso a la información, también lo es que cuando existe omisión de la dependencia o autoridad de responder a una solicitud de esa naturaleza, el gobernado puede estimar válidamente que se cometió en su perjuicio una transgresión al derecho de petición contenido en el artículo 8o. de la Constitución Política de los Estados Unidos Mexicanos, el cual garantiza la obligación de las </w:t>
      </w:r>
      <w:r w:rsidRPr="00BB69B8">
        <w:rPr>
          <w:rFonts w:ascii="AvantGarde Bk BT" w:hAnsi="AvantGarde Bk BT" w:cs="Arial"/>
          <w:i/>
          <w:iCs/>
          <w:color w:val="000000" w:themeColor="text1"/>
          <w:sz w:val="24"/>
          <w:szCs w:val="24"/>
        </w:rPr>
        <w:lastRenderedPageBreak/>
        <w:t xml:space="preserve">autoridades de responder cualquier solicitud en breve término y de dar a conocer la respuesta al interesado. En ese tenor, para el efecto de la procedencia del juicio de amparo promovido contra la omisión de una autoridad de responder sobre una solicitud de acceso a la información, en términos de la fracción XV del artículo 73 de la Ley de Amparo, debe determinarse en principio la violación o transgresión que el peticionario de amparo aduce que se cometió a sus derechos, lo que dará pauta al órgano de control constitucional para decidir si en el caso se actualiza o no la causa de improcedencia consistente en que no se agotó el medio o procedimiento establecido en la ley que rige al acto, antes de acudir al amparo. Así, cuando se aduce en la demanda de amparo una violación directa al derecho de petición, el juzgador no puede estimar que se actualiza la causal de improcedencia referida, pues en este caso </w:t>
      </w:r>
      <w:r w:rsidRPr="00BB69B8">
        <w:rPr>
          <w:rFonts w:ascii="AvantGarde Bk BT" w:hAnsi="AvantGarde Bk BT" w:cs="Arial"/>
          <w:i/>
          <w:iCs/>
          <w:color w:val="000000" w:themeColor="text1"/>
          <w:sz w:val="24"/>
          <w:szCs w:val="24"/>
          <w:u w:val="single"/>
        </w:rPr>
        <w:t>el derecho de petición no se rige por las leyes de transparencia y de acceso a la información pública en las que sí se establece un recurso o medio de defensa por el que pueden ser revocados o nulificados los actos reclamados</w:t>
      </w:r>
      <w:r w:rsidRPr="00BB69B8">
        <w:rPr>
          <w:rFonts w:ascii="AvantGarde Bk BT" w:hAnsi="AvantGarde Bk BT" w:cs="Arial"/>
          <w:i/>
          <w:iCs/>
          <w:color w:val="000000" w:themeColor="text1"/>
          <w:sz w:val="24"/>
          <w:szCs w:val="24"/>
        </w:rPr>
        <w:t>, pues debe tenerse presente que lo que busca el peticionario de amparo es que la autoridad conteste su solicitud en breve término y que haga de su conocimiento la respuesta.</w:t>
      </w:r>
      <w:r w:rsidRPr="00BB69B8">
        <w:rPr>
          <w:rFonts w:ascii="AvantGarde Bk BT" w:hAnsi="AvantGarde Bk BT" w:cs="Arial"/>
          <w:i/>
          <w:color w:val="000000" w:themeColor="text1"/>
          <w:sz w:val="24"/>
          <w:szCs w:val="24"/>
        </w:rPr>
        <w:t>”</w:t>
      </w:r>
      <w:r w:rsidRPr="00BB69B8">
        <w:rPr>
          <w:rFonts w:ascii="AvantGarde Bk BT" w:hAnsi="AvantGarde Bk BT" w:cs="Arial"/>
          <w:color w:val="000000" w:themeColor="text1"/>
          <w:sz w:val="24"/>
          <w:szCs w:val="24"/>
        </w:rPr>
        <w:t xml:space="preserve"> (Énfasis añadido de manera intencional).</w:t>
      </w:r>
    </w:p>
    <w:p w14:paraId="2151CD84" w14:textId="0C4ECCE1" w:rsidR="00C53EAD" w:rsidRDefault="00C53EAD"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la segunda de las hipótesis interpretativas a que da lugar la porción de la solicitud de información presentada por el recurrente –relativa a </w:t>
      </w:r>
      <w:r w:rsidRPr="00C53EAD">
        <w:rPr>
          <w:rFonts w:ascii="AvantGarde Bk BT" w:hAnsi="AvantGarde Bk BT" w:cs="Arial"/>
          <w:i/>
          <w:color w:val="000000" w:themeColor="text1"/>
          <w:sz w:val="24"/>
          <w:szCs w:val="24"/>
        </w:rPr>
        <w:t>“</w:t>
      </w:r>
      <w:r w:rsidRPr="00DA1E23">
        <w:rPr>
          <w:rFonts w:ascii="AvantGarde Bk BT" w:hAnsi="AvantGarde Bk BT" w:cs="Arial"/>
          <w:i/>
          <w:color w:val="000000" w:themeColor="text1"/>
          <w:sz w:val="24"/>
          <w:szCs w:val="24"/>
        </w:rPr>
        <w:t>así como la justificación de lo antes solicitado</w:t>
      </w:r>
      <w:r>
        <w:rPr>
          <w:rFonts w:ascii="AvantGarde Bk BT" w:hAnsi="AvantGarde Bk BT" w:cs="Arial"/>
          <w:i/>
          <w:color w:val="000000" w:themeColor="text1"/>
          <w:sz w:val="24"/>
          <w:szCs w:val="24"/>
        </w:rPr>
        <w:t>”</w:t>
      </w:r>
      <w:r w:rsidRPr="00C53EA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incumbe al soporte documental que sostiene la información relativa al cargo, puesto, sueldo</w:t>
      </w:r>
      <w:r w:rsidRPr="00C53EAD">
        <w:rPr>
          <w:rFonts w:ascii="AvantGarde Bk BT" w:hAnsi="AvantGarde Bk BT" w:cs="Arial"/>
          <w:color w:val="000000" w:themeColor="text1"/>
          <w:sz w:val="24"/>
          <w:szCs w:val="24"/>
        </w:rPr>
        <w:t xml:space="preserve"> y funciones de Silvia Jaime Martínez</w:t>
      </w:r>
      <w:r>
        <w:rPr>
          <w:rFonts w:ascii="AvantGarde Bk BT" w:hAnsi="AvantGarde Bk BT" w:cs="Arial"/>
          <w:color w:val="000000" w:themeColor="text1"/>
          <w:sz w:val="24"/>
          <w:szCs w:val="24"/>
        </w:rPr>
        <w:t>, situación que se encuentra dentro de los alcances del derecho de acceso a la información.</w:t>
      </w:r>
    </w:p>
    <w:p w14:paraId="5C2D599E" w14:textId="73B9B81C" w:rsidR="00C53EAD" w:rsidRPr="00C53EAD" w:rsidRDefault="00C53EAD"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Derivado de lo anterior y con el objeto de </w:t>
      </w:r>
      <w:r w:rsidR="00F103A2">
        <w:rPr>
          <w:rFonts w:ascii="AvantGarde Bk BT" w:hAnsi="AvantGarde Bk BT" w:cs="Arial"/>
          <w:color w:val="000000" w:themeColor="text1"/>
          <w:sz w:val="24"/>
          <w:szCs w:val="24"/>
        </w:rPr>
        <w:t xml:space="preserve">garantizar el derecho de acceso a la información del ahora recurrente, este cuerpo colegiado opta por la segunda hipótesis interpretativa, ya que de esta forma </w:t>
      </w:r>
      <w:r w:rsidR="008D4D5C">
        <w:rPr>
          <w:rFonts w:ascii="AvantGarde Bk BT" w:hAnsi="AvantGarde Bk BT" w:cs="Arial"/>
          <w:color w:val="000000" w:themeColor="text1"/>
          <w:sz w:val="24"/>
          <w:szCs w:val="24"/>
        </w:rPr>
        <w:t>se concede primacía a la entrega de la expresión documental que contenga la información solicitada por el particular.</w:t>
      </w:r>
    </w:p>
    <w:p w14:paraId="7BB346B1" w14:textId="73AA3107" w:rsidR="002D5B32" w:rsidRDefault="008D4D5C"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resulta menester</w:t>
      </w:r>
      <w:r w:rsidR="002D5B32">
        <w:rPr>
          <w:rFonts w:ascii="AvantGarde Bk BT" w:hAnsi="AvantGarde Bk BT" w:cs="Arial"/>
          <w:color w:val="000000" w:themeColor="text1"/>
          <w:sz w:val="24"/>
          <w:szCs w:val="24"/>
        </w:rPr>
        <w:t xml:space="preserve"> no perder de vista que la información solicitada por el particular consiste en información considerada como pública de </w:t>
      </w:r>
      <w:r w:rsidR="002D5B32">
        <w:rPr>
          <w:rFonts w:ascii="AvantGarde Bk BT" w:hAnsi="AvantGarde Bk BT" w:cs="Arial"/>
          <w:color w:val="000000" w:themeColor="text1"/>
          <w:sz w:val="24"/>
          <w:szCs w:val="24"/>
        </w:rPr>
        <w:lastRenderedPageBreak/>
        <w:t>oficio, esto en virtud de así contemplarlo el artículo 84, fracción X</w:t>
      </w:r>
      <w:r w:rsidR="00C1106E">
        <w:rPr>
          <w:rFonts w:ascii="AvantGarde Bk BT" w:hAnsi="AvantGarde Bk BT" w:cs="Arial"/>
          <w:color w:val="000000" w:themeColor="text1"/>
          <w:sz w:val="24"/>
          <w:szCs w:val="24"/>
        </w:rPr>
        <w:t xml:space="preserve"> y XI</w:t>
      </w:r>
      <w:r w:rsidR="002D5B32">
        <w:rPr>
          <w:rFonts w:ascii="AvantGarde Bk BT" w:hAnsi="AvantGarde Bk BT" w:cs="Arial"/>
          <w:color w:val="000000" w:themeColor="text1"/>
          <w:sz w:val="24"/>
          <w:szCs w:val="24"/>
        </w:rPr>
        <w:t xml:space="preserve"> de la Ley de la materia</w:t>
      </w:r>
      <w:r w:rsidR="002D5B32">
        <w:rPr>
          <w:rStyle w:val="Refdenotaalpie"/>
          <w:rFonts w:ascii="AvantGarde Bk BT" w:hAnsi="AvantGarde Bk BT" w:cs="Arial"/>
          <w:color w:val="000000" w:themeColor="text1"/>
          <w:sz w:val="24"/>
          <w:szCs w:val="24"/>
        </w:rPr>
        <w:footnoteReference w:id="3"/>
      </w:r>
      <w:r w:rsidR="002D5B32">
        <w:rPr>
          <w:rFonts w:ascii="AvantGarde Bk BT" w:hAnsi="AvantGarde Bk BT" w:cs="Arial"/>
          <w:color w:val="000000" w:themeColor="text1"/>
          <w:sz w:val="24"/>
          <w:szCs w:val="24"/>
        </w:rPr>
        <w:t>.</w:t>
      </w:r>
    </w:p>
    <w:p w14:paraId="2F654993" w14:textId="2E51547A" w:rsidR="005B1D20" w:rsidRDefault="00E5567F"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w:t>
      </w:r>
      <w:r w:rsidR="00827B1C">
        <w:rPr>
          <w:rFonts w:ascii="AvantGarde Bk BT" w:hAnsi="AvantGarde Bk BT" w:cs="Arial"/>
          <w:color w:val="000000" w:themeColor="text1"/>
          <w:sz w:val="24"/>
          <w:szCs w:val="24"/>
        </w:rPr>
        <w:t xml:space="preserve">, </w:t>
      </w:r>
      <w:r w:rsidR="008D4D5C">
        <w:rPr>
          <w:rFonts w:ascii="AvantGarde Bk BT" w:hAnsi="AvantGarde Bk BT" w:cs="Arial"/>
          <w:color w:val="000000" w:themeColor="text1"/>
          <w:sz w:val="24"/>
          <w:szCs w:val="24"/>
        </w:rPr>
        <w:t>resulta oportuno señalar</w:t>
      </w:r>
      <w:bookmarkStart w:id="1" w:name="_GoBack"/>
      <w:bookmarkEnd w:id="1"/>
      <w:r w:rsidR="00073E8C">
        <w:rPr>
          <w:rFonts w:ascii="AvantGarde Bk BT" w:hAnsi="AvantGarde Bk BT" w:cs="Arial"/>
          <w:color w:val="000000" w:themeColor="text1"/>
          <w:sz w:val="24"/>
          <w:szCs w:val="24"/>
        </w:rPr>
        <w:t xml:space="preserve"> que e</w:t>
      </w:r>
      <w:r w:rsidR="00827B1C">
        <w:rPr>
          <w:rFonts w:ascii="AvantGarde Bk BT" w:hAnsi="AvantGarde Bk BT" w:cs="Arial"/>
          <w:color w:val="000000" w:themeColor="text1"/>
          <w:sz w:val="24"/>
          <w:szCs w:val="24"/>
        </w:rPr>
        <w:t xml:space="preserve">l sujeto obligado </w:t>
      </w:r>
      <w:r w:rsidR="00073E8C">
        <w:rPr>
          <w:rFonts w:ascii="AvantGarde Bk BT" w:hAnsi="AvantGarde Bk BT" w:cs="Arial"/>
          <w:color w:val="000000" w:themeColor="text1"/>
          <w:sz w:val="24"/>
          <w:szCs w:val="24"/>
        </w:rPr>
        <w:t>se encuentra constreñido a</w:t>
      </w:r>
      <w:r w:rsidR="00132F7C">
        <w:rPr>
          <w:rFonts w:ascii="AvantGarde Bk BT" w:hAnsi="AvantGarde Bk BT" w:cs="Arial"/>
          <w:color w:val="000000" w:themeColor="text1"/>
          <w:sz w:val="24"/>
          <w:szCs w:val="24"/>
        </w:rPr>
        <w:t xml:space="preserve"> proporcionar la información que se encuentra </w:t>
      </w:r>
      <w:r w:rsidR="005B517A">
        <w:rPr>
          <w:rFonts w:ascii="AvantGarde Bk BT" w:hAnsi="AvantGarde Bk BT" w:cs="Arial"/>
          <w:color w:val="000000" w:themeColor="text1"/>
          <w:sz w:val="24"/>
          <w:szCs w:val="24"/>
        </w:rPr>
        <w:t>en su posesión, lo anterior para efecto de permitir que el derecho de acceso a la información se encuentre satisfecho.</w:t>
      </w:r>
      <w:r w:rsidR="00E85107">
        <w:rPr>
          <w:rStyle w:val="Refdenotaalpie"/>
          <w:rFonts w:ascii="AvantGarde Bk BT" w:hAnsi="AvantGarde Bk BT" w:cs="Arial"/>
          <w:color w:val="000000" w:themeColor="text1"/>
          <w:sz w:val="24"/>
          <w:szCs w:val="24"/>
        </w:rPr>
        <w:footnoteReference w:id="4"/>
      </w:r>
    </w:p>
    <w:p w14:paraId="482ECE2F" w14:textId="3127C969" w:rsidR="00035879" w:rsidRDefault="003E76B0" w:rsidP="00DD03B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w:t>
      </w:r>
      <w:r w:rsidR="00A81B13">
        <w:rPr>
          <w:rFonts w:ascii="AvantGarde Bk BT" w:hAnsi="AvantGarde Bk BT" w:cs="Arial"/>
          <w:color w:val="000000" w:themeColor="text1"/>
          <w:sz w:val="24"/>
          <w:szCs w:val="24"/>
        </w:rPr>
        <w:t xml:space="preserve"> es de puntualizarse que </w:t>
      </w:r>
      <w:r w:rsidR="0097647F" w:rsidRPr="0097647F">
        <w:rPr>
          <w:rFonts w:ascii="AvantGarde Bk BT" w:hAnsi="AvantGarde Bk BT" w:cs="Arial"/>
          <w:color w:val="000000" w:themeColor="text1"/>
          <w:sz w:val="24"/>
          <w:szCs w:val="24"/>
        </w:rPr>
        <w:t>los funcionarios públicos están obligados a</w:t>
      </w:r>
      <w:r w:rsidR="0097647F">
        <w:rPr>
          <w:rFonts w:ascii="AvantGarde Bk BT" w:hAnsi="AvantGarde Bk BT" w:cs="Arial"/>
          <w:color w:val="000000" w:themeColor="text1"/>
          <w:sz w:val="24"/>
          <w:szCs w:val="24"/>
        </w:rPr>
        <w:t xml:space="preserve"> documentar todo acto que devenga de sus funciones y/o atribuciones </w:t>
      </w:r>
      <w:r w:rsidR="0097647F" w:rsidRPr="0097647F">
        <w:rPr>
          <w:rFonts w:ascii="AvantGarde Bk BT" w:hAnsi="AvantGarde Bk BT" w:cs="Arial"/>
          <w:color w:val="000000" w:themeColor="text1"/>
          <w:sz w:val="24"/>
          <w:szCs w:val="24"/>
        </w:rPr>
        <w:t xml:space="preserve">y por ende, </w:t>
      </w:r>
      <w:r w:rsidR="0097647F">
        <w:rPr>
          <w:rFonts w:ascii="AvantGarde Bk BT" w:hAnsi="AvantGarde Bk BT" w:cs="Arial"/>
          <w:color w:val="000000" w:themeColor="text1"/>
          <w:sz w:val="24"/>
          <w:szCs w:val="24"/>
        </w:rPr>
        <w:t xml:space="preserve">la información solicitada </w:t>
      </w:r>
      <w:r w:rsidR="0097647F" w:rsidRPr="0097647F">
        <w:rPr>
          <w:rFonts w:ascii="AvantGarde Bk BT" w:hAnsi="AvantGarde Bk BT" w:cs="Arial"/>
          <w:color w:val="000000" w:themeColor="text1"/>
          <w:sz w:val="24"/>
          <w:szCs w:val="24"/>
        </w:rPr>
        <w:t>debió ser entregada al recurrente en la forma en que ésta fue generada</w:t>
      </w:r>
      <w:r w:rsidR="0097647F">
        <w:rPr>
          <w:rFonts w:ascii="AvantGarde Bk BT" w:hAnsi="AvantGarde Bk BT" w:cs="Arial"/>
          <w:color w:val="000000" w:themeColor="text1"/>
          <w:sz w:val="24"/>
          <w:szCs w:val="24"/>
        </w:rPr>
        <w:t>.</w:t>
      </w:r>
      <w:r w:rsidR="0097647F" w:rsidRPr="0097647F">
        <w:rPr>
          <w:rFonts w:ascii="AvantGarde Bk BT" w:hAnsi="AvantGarde Bk BT" w:cs="Arial"/>
          <w:color w:val="000000" w:themeColor="text1"/>
          <w:sz w:val="24"/>
          <w:szCs w:val="24"/>
          <w:vertAlign w:val="superscript"/>
        </w:rPr>
        <w:t xml:space="preserve"> </w:t>
      </w:r>
      <w:r w:rsidR="0097647F" w:rsidRPr="0097647F">
        <w:rPr>
          <w:rFonts w:ascii="AvantGarde Bk BT" w:hAnsi="AvantGarde Bk BT" w:cs="Arial"/>
          <w:color w:val="000000" w:themeColor="text1"/>
          <w:sz w:val="24"/>
          <w:szCs w:val="24"/>
          <w:vertAlign w:val="superscript"/>
        </w:rPr>
        <w:footnoteReference w:id="5"/>
      </w:r>
    </w:p>
    <w:p w14:paraId="55A599F9" w14:textId="77777777" w:rsidR="003E76B0" w:rsidRDefault="003E76B0" w:rsidP="00297CE3">
      <w:pPr>
        <w:pStyle w:val="corte4fondo"/>
        <w:tabs>
          <w:tab w:val="left" w:pos="567"/>
        </w:tabs>
        <w:ind w:firstLine="680"/>
        <w:rPr>
          <w:rFonts w:ascii="AvantGarde Bk BT" w:hAnsi="AvantGarde Bk BT" w:cs="Arial"/>
          <w:color w:val="000000" w:themeColor="text1"/>
          <w:sz w:val="24"/>
          <w:szCs w:val="24"/>
        </w:rPr>
      </w:pPr>
    </w:p>
    <w:p w14:paraId="2303D269" w14:textId="3B22FC1E" w:rsidR="00F938D5" w:rsidRDefault="00324A01" w:rsidP="00297CE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este órgano garante considera necesario </w:t>
      </w:r>
      <w:r w:rsidR="00234478">
        <w:rPr>
          <w:rFonts w:ascii="AvantGarde Bk BT" w:hAnsi="AvantGarde Bk BT" w:cs="Arial"/>
          <w:color w:val="000000" w:themeColor="text1"/>
          <w:sz w:val="24"/>
          <w:szCs w:val="24"/>
        </w:rPr>
        <w:t xml:space="preserve">puntualizar que </w:t>
      </w:r>
      <w:r w:rsidR="00234478" w:rsidRPr="00234478">
        <w:rPr>
          <w:rFonts w:ascii="AvantGarde Bk BT" w:hAnsi="AvantGarde Bk BT" w:cs="Arial"/>
          <w:color w:val="000000" w:themeColor="text1"/>
          <w:sz w:val="24"/>
          <w:szCs w:val="24"/>
        </w:rPr>
        <w:t xml:space="preserve">los </w:t>
      </w:r>
      <w:r w:rsidR="00234478">
        <w:rPr>
          <w:rFonts w:ascii="AvantGarde Bk BT" w:hAnsi="AvantGarde Bk BT" w:cs="Arial"/>
          <w:color w:val="000000" w:themeColor="text1"/>
          <w:sz w:val="24"/>
          <w:szCs w:val="24"/>
        </w:rPr>
        <w:t>sujetos obligados deben</w:t>
      </w:r>
      <w:r w:rsidR="00234478" w:rsidRPr="00234478">
        <w:rPr>
          <w:rFonts w:ascii="AvantGarde Bk BT" w:hAnsi="AvantGarde Bk BT" w:cs="Arial"/>
          <w:color w:val="000000" w:themeColor="text1"/>
          <w:sz w:val="24"/>
          <w:szCs w:val="24"/>
        </w:rPr>
        <w:t xml:space="preserve">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234478">
        <w:rPr>
          <w:rStyle w:val="Refdenotaalpie"/>
          <w:rFonts w:ascii="AvantGarde Bk BT" w:hAnsi="AvantGarde Bk BT" w:cs="Arial"/>
          <w:color w:val="000000" w:themeColor="text1"/>
          <w:sz w:val="24"/>
          <w:szCs w:val="24"/>
        </w:rPr>
        <w:footnoteReference w:id="6"/>
      </w:r>
    </w:p>
    <w:p w14:paraId="1308F9B6" w14:textId="632DE921" w:rsidR="003E76B0" w:rsidRDefault="003E76B0" w:rsidP="00250873">
      <w:pPr>
        <w:pStyle w:val="corte4fondo"/>
        <w:tabs>
          <w:tab w:val="left" w:pos="567"/>
        </w:tabs>
        <w:rPr>
          <w:rFonts w:ascii="AvantGarde Bk BT" w:hAnsi="AvantGarde Bk BT" w:cs="Arial"/>
          <w:b/>
          <w:color w:val="000000" w:themeColor="text1"/>
          <w:sz w:val="24"/>
          <w:szCs w:val="24"/>
        </w:rPr>
      </w:pPr>
    </w:p>
    <w:p w14:paraId="735592D8" w14:textId="5B4271B0" w:rsidR="00DD03B0" w:rsidRDefault="00DD03B0" w:rsidP="00250873">
      <w:pPr>
        <w:pStyle w:val="corte4fondo"/>
        <w:tabs>
          <w:tab w:val="left" w:pos="567"/>
        </w:tabs>
        <w:rPr>
          <w:rFonts w:ascii="AvantGarde Bk BT" w:hAnsi="AvantGarde Bk BT" w:cs="Arial"/>
          <w:b/>
          <w:color w:val="000000" w:themeColor="text1"/>
          <w:sz w:val="24"/>
          <w:szCs w:val="24"/>
        </w:rPr>
      </w:pPr>
    </w:p>
    <w:p w14:paraId="64ABC502" w14:textId="76616FBF"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CB1C6C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1321E10" w14:textId="77777777" w:rsidR="007A2B14" w:rsidRPr="008A00C2" w:rsidRDefault="007A2B14" w:rsidP="007A2B14">
      <w:pPr>
        <w:pStyle w:val="corte4fondo"/>
        <w:tabs>
          <w:tab w:val="left" w:pos="567"/>
        </w:tabs>
        <w:rPr>
          <w:rFonts w:ascii="AvantGarde Bk BT" w:hAnsi="AvantGarde Bk BT" w:cs="Arial"/>
          <w:color w:val="000000" w:themeColor="text1"/>
          <w:sz w:val="24"/>
          <w:szCs w:val="24"/>
        </w:rPr>
      </w:pPr>
      <w:r w:rsidRPr="008A00C2">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8A00C2">
        <w:rPr>
          <w:rFonts w:ascii="AvantGarde Bk BT" w:hAnsi="AvantGarde Bk BT" w:cs="Arial"/>
          <w:b/>
          <w:color w:val="000000" w:themeColor="text1"/>
          <w:sz w:val="24"/>
          <w:szCs w:val="24"/>
        </w:rPr>
        <w:t>APLICA EL PRINCIPIO DE AFIRMATIVA FICTA</w:t>
      </w:r>
      <w:r w:rsidRPr="008A00C2">
        <w:rPr>
          <w:rFonts w:ascii="AvantGarde Bk BT" w:hAnsi="AvantGarde Bk BT" w:cs="Arial"/>
          <w:color w:val="000000" w:themeColor="text1"/>
          <w:sz w:val="24"/>
          <w:szCs w:val="24"/>
        </w:rPr>
        <w:t xml:space="preserve"> y lo conmina al sujeto obligado para que:</w:t>
      </w:r>
    </w:p>
    <w:p w14:paraId="2AB84EDD" w14:textId="77777777" w:rsidR="007A2B14" w:rsidRPr="007C5605" w:rsidRDefault="007A2B14" w:rsidP="007A2B14">
      <w:pPr>
        <w:pStyle w:val="corte4fondo"/>
        <w:tabs>
          <w:tab w:val="left" w:pos="567"/>
        </w:tabs>
        <w:rPr>
          <w:rFonts w:ascii="AvantGarde Bk BT" w:hAnsi="AvantGarde Bk BT" w:cs="Arial"/>
          <w:color w:val="000000" w:themeColor="text1"/>
          <w:sz w:val="24"/>
          <w:szCs w:val="24"/>
        </w:rPr>
      </w:pPr>
    </w:p>
    <w:p w14:paraId="7BB64248" w14:textId="5F6989D5" w:rsidR="007A2B14" w:rsidRDefault="007A2B14" w:rsidP="007A2B14">
      <w:pPr>
        <w:pStyle w:val="corte4fondo"/>
        <w:tabs>
          <w:tab w:val="left" w:pos="567"/>
        </w:tabs>
        <w:ind w:left="680" w:firstLine="0"/>
        <w:rPr>
          <w:rFonts w:ascii="AvantGarde Bk BT" w:hAnsi="AvantGarde Bk BT" w:cs="Arial"/>
          <w:color w:val="000000" w:themeColor="text1"/>
          <w:sz w:val="24"/>
          <w:szCs w:val="24"/>
        </w:rPr>
      </w:pPr>
      <w:r w:rsidRPr="006F1247">
        <w:rPr>
          <w:rFonts w:ascii="AvantGarde Bk BT" w:hAnsi="AvantGarde Bk BT" w:cs="Arial"/>
          <w:b/>
          <w:color w:val="000000" w:themeColor="text1"/>
          <w:sz w:val="24"/>
          <w:szCs w:val="24"/>
        </w:rPr>
        <w:t>6.1.1.</w:t>
      </w:r>
      <w:r w:rsidRPr="006F1247">
        <w:rPr>
          <w:rFonts w:ascii="AvantGarde Bk BT" w:hAnsi="AvantGarde Bk BT" w:cs="Arial"/>
          <w:color w:val="000000" w:themeColor="text1"/>
          <w:sz w:val="24"/>
          <w:szCs w:val="24"/>
        </w:rPr>
        <w:t xml:space="preserve"> Proporcione al particular la información relativa a:</w:t>
      </w:r>
    </w:p>
    <w:p w14:paraId="6ED99874" w14:textId="77777777" w:rsidR="003F00CD" w:rsidRPr="006F1247" w:rsidRDefault="003F00CD" w:rsidP="007A2B14">
      <w:pPr>
        <w:pStyle w:val="corte4fondo"/>
        <w:tabs>
          <w:tab w:val="left" w:pos="567"/>
        </w:tabs>
        <w:ind w:left="680" w:firstLine="0"/>
        <w:rPr>
          <w:rFonts w:ascii="AvantGarde Bk BT" w:hAnsi="AvantGarde Bk BT" w:cs="Arial"/>
          <w:color w:val="000000" w:themeColor="text1"/>
          <w:sz w:val="24"/>
          <w:szCs w:val="24"/>
        </w:rPr>
      </w:pPr>
    </w:p>
    <w:p w14:paraId="51496990" w14:textId="349DA385" w:rsidR="00DD03B0" w:rsidRPr="00C1106E" w:rsidRDefault="00C1106E" w:rsidP="00DD03B0">
      <w:pPr>
        <w:pStyle w:val="corte4fondo"/>
        <w:numPr>
          <w:ilvl w:val="0"/>
          <w:numId w:val="35"/>
        </w:numPr>
        <w:tabs>
          <w:tab w:val="left" w:pos="567"/>
        </w:tabs>
        <w:rPr>
          <w:rFonts w:ascii="AvantGarde Bk BT" w:hAnsi="AvantGarde Bk BT" w:cs="Arial"/>
          <w:color w:val="000000" w:themeColor="text1"/>
          <w:sz w:val="24"/>
          <w:szCs w:val="24"/>
        </w:rPr>
      </w:pPr>
      <w:r w:rsidRPr="00C1106E">
        <w:rPr>
          <w:rFonts w:ascii="AvantGarde Bk BT" w:hAnsi="AvantGarde Bk BT" w:cs="Arial"/>
          <w:color w:val="000000" w:themeColor="text1"/>
          <w:sz w:val="24"/>
          <w:szCs w:val="24"/>
        </w:rPr>
        <w:lastRenderedPageBreak/>
        <w:t>Cargo</w:t>
      </w:r>
      <w:r>
        <w:rPr>
          <w:rFonts w:ascii="AvantGarde Bk BT" w:hAnsi="AvantGarde Bk BT" w:cs="Arial"/>
          <w:color w:val="000000" w:themeColor="text1"/>
          <w:sz w:val="24"/>
          <w:szCs w:val="24"/>
        </w:rPr>
        <w:t>, puesto, sueldo</w:t>
      </w:r>
      <w:r w:rsidRPr="00C1106E">
        <w:rPr>
          <w:rFonts w:ascii="AvantGarde Bk BT" w:hAnsi="AvantGarde Bk BT" w:cs="Arial"/>
          <w:color w:val="000000" w:themeColor="text1"/>
          <w:sz w:val="24"/>
          <w:szCs w:val="24"/>
        </w:rPr>
        <w:t xml:space="preserve"> y funciones de Silvia Jaime Martínez, así como la justificación de lo antes solicitado</w:t>
      </w:r>
      <w:r w:rsidR="00DD03B0" w:rsidRPr="00C1106E">
        <w:rPr>
          <w:rFonts w:ascii="AvantGarde Bk BT" w:hAnsi="AvantGarde Bk BT" w:cs="Arial"/>
          <w:color w:val="000000" w:themeColor="text1"/>
          <w:sz w:val="24"/>
          <w:szCs w:val="24"/>
        </w:rPr>
        <w:t>.</w:t>
      </w:r>
    </w:p>
    <w:p w14:paraId="255EA824" w14:textId="77777777" w:rsidR="00DD03B0" w:rsidRDefault="00DD03B0" w:rsidP="00250873">
      <w:pPr>
        <w:pStyle w:val="corte4fondo"/>
        <w:tabs>
          <w:tab w:val="left" w:pos="567"/>
        </w:tabs>
        <w:rPr>
          <w:rFonts w:ascii="AvantGarde Bk BT" w:hAnsi="AvantGarde Bk BT" w:cs="Arial"/>
          <w:b/>
          <w:color w:val="000000" w:themeColor="text1"/>
          <w:sz w:val="24"/>
          <w:szCs w:val="24"/>
        </w:rPr>
      </w:pPr>
    </w:p>
    <w:p w14:paraId="656115DA" w14:textId="01A4ABC7" w:rsidR="00513FEA"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6.2. Precisiones de la resolución.</w:t>
      </w:r>
    </w:p>
    <w:p w14:paraId="2DEE46C6" w14:textId="77777777" w:rsidR="00513FEA" w:rsidRDefault="00513FEA" w:rsidP="00250873">
      <w:pPr>
        <w:pStyle w:val="corte4fondo"/>
        <w:tabs>
          <w:tab w:val="left" w:pos="567"/>
        </w:tabs>
        <w:rPr>
          <w:rFonts w:ascii="AvantGarde Bk BT" w:hAnsi="AvantGarde Bk BT" w:cs="Arial"/>
          <w:b/>
          <w:color w:val="000000" w:themeColor="text1"/>
          <w:sz w:val="24"/>
          <w:szCs w:val="24"/>
        </w:rPr>
      </w:pPr>
    </w:p>
    <w:p w14:paraId="5DC73EC6" w14:textId="74E920B1" w:rsidR="00DD03B0" w:rsidRDefault="00DD03B0" w:rsidP="00DD03B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sujeto obligado deberá </w:t>
      </w:r>
      <w:r w:rsidR="007A0385">
        <w:rPr>
          <w:rFonts w:ascii="AvantGarde Bk BT" w:hAnsi="AvantGarde Bk BT" w:cs="Arial"/>
          <w:color w:val="000000" w:themeColor="text1"/>
          <w:sz w:val="24"/>
          <w:szCs w:val="24"/>
        </w:rPr>
        <w:t>entregar</w:t>
      </w:r>
      <w:r>
        <w:rPr>
          <w:rFonts w:ascii="AvantGarde Bk BT" w:hAnsi="AvantGarde Bk BT" w:cs="Arial"/>
          <w:color w:val="000000" w:themeColor="text1"/>
          <w:sz w:val="24"/>
          <w:szCs w:val="24"/>
        </w:rPr>
        <w:t xml:space="preserve"> la</w:t>
      </w:r>
      <w:r w:rsidR="007A0385">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tabla</w:t>
      </w:r>
      <w:r w:rsidR="007A0385">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que se encuentra alojada</w:t>
      </w:r>
      <w:r w:rsidR="007A0385">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en la Plataforma Estatal de Transparencia, re</w:t>
      </w:r>
      <w:r w:rsidR="007A0385">
        <w:rPr>
          <w:rFonts w:ascii="AvantGarde Bk BT" w:hAnsi="AvantGarde Bk BT" w:cs="Arial"/>
          <w:color w:val="000000" w:themeColor="text1"/>
          <w:sz w:val="24"/>
          <w:szCs w:val="24"/>
        </w:rPr>
        <w:t>lativas</w:t>
      </w:r>
      <w:r>
        <w:rPr>
          <w:rFonts w:ascii="AvantGarde Bk BT" w:hAnsi="AvantGarde Bk BT" w:cs="Arial"/>
          <w:color w:val="000000" w:themeColor="text1"/>
          <w:sz w:val="24"/>
          <w:szCs w:val="24"/>
        </w:rPr>
        <w:t xml:space="preserve"> a la</w:t>
      </w:r>
      <w:r w:rsidR="007A0385">
        <w:rPr>
          <w:rFonts w:ascii="AvantGarde Bk BT" w:hAnsi="AvantGarde Bk BT" w:cs="Arial"/>
          <w:color w:val="000000" w:themeColor="text1"/>
          <w:sz w:val="24"/>
          <w:szCs w:val="24"/>
        </w:rPr>
        <w:t>s fracciones</w:t>
      </w:r>
      <w:r>
        <w:rPr>
          <w:rFonts w:ascii="AvantGarde Bk BT" w:hAnsi="AvantGarde Bk BT" w:cs="Arial"/>
          <w:color w:val="000000" w:themeColor="text1"/>
          <w:sz w:val="24"/>
          <w:szCs w:val="24"/>
        </w:rPr>
        <w:t xml:space="preserve"> X</w:t>
      </w:r>
      <w:r w:rsidR="007A0385">
        <w:rPr>
          <w:rFonts w:ascii="AvantGarde Bk BT" w:hAnsi="AvantGarde Bk BT" w:cs="Arial"/>
          <w:color w:val="000000" w:themeColor="text1"/>
          <w:sz w:val="24"/>
          <w:szCs w:val="24"/>
        </w:rPr>
        <w:t xml:space="preserve"> y XI</w:t>
      </w:r>
      <w:r>
        <w:rPr>
          <w:rFonts w:ascii="AvantGarde Bk BT" w:hAnsi="AvantGarde Bk BT" w:cs="Arial"/>
          <w:color w:val="000000" w:themeColor="text1"/>
          <w:sz w:val="24"/>
          <w:szCs w:val="24"/>
        </w:rPr>
        <w:t xml:space="preserve"> del artículo 84 de la ley de la materia. </w:t>
      </w:r>
    </w:p>
    <w:p w14:paraId="2242B0AF" w14:textId="35894DB4" w:rsidR="00DD03B0" w:rsidRDefault="00DD03B0" w:rsidP="00250873">
      <w:pPr>
        <w:pStyle w:val="corte4fondo"/>
        <w:tabs>
          <w:tab w:val="left" w:pos="567"/>
        </w:tabs>
        <w:rPr>
          <w:rFonts w:ascii="AvantGarde Bk BT" w:hAnsi="AvantGarde Bk BT" w:cs="Arial"/>
          <w:color w:val="000000" w:themeColor="text1"/>
          <w:sz w:val="24"/>
          <w:szCs w:val="24"/>
        </w:rPr>
      </w:pPr>
    </w:p>
    <w:p w14:paraId="6F76C0B0" w14:textId="33D8E679" w:rsidR="007A0385" w:rsidRDefault="007A0385"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en caso de que dichos formatos no contengan la información solicitada o se encuentre mal cargada en dicha plataforma, el sujeto obligado deberá entregar el soporte documental que contenga la información solicitada, esto de manera totalmente gratuita y siempre con estricto apego a la modalidad solicitada por el particular.</w:t>
      </w:r>
    </w:p>
    <w:p w14:paraId="41CF52F6" w14:textId="77777777" w:rsidR="007A0385" w:rsidRDefault="007A0385" w:rsidP="00250873">
      <w:pPr>
        <w:pStyle w:val="corte4fondo"/>
        <w:tabs>
          <w:tab w:val="left" w:pos="567"/>
        </w:tabs>
        <w:rPr>
          <w:rFonts w:ascii="AvantGarde Bk BT" w:hAnsi="AvantGarde Bk BT" w:cs="Arial"/>
          <w:color w:val="000000" w:themeColor="text1"/>
          <w:sz w:val="24"/>
          <w:szCs w:val="24"/>
        </w:rPr>
      </w:pPr>
    </w:p>
    <w:p w14:paraId="1BFF7AE3" w14:textId="2A1B82D5" w:rsidR="00513FEA" w:rsidRDefault="007A0385"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e</w:t>
      </w:r>
      <w:r w:rsidR="003F00CD">
        <w:rPr>
          <w:rFonts w:ascii="AvantGarde Bk BT" w:hAnsi="AvantGarde Bk BT" w:cs="Arial"/>
          <w:color w:val="000000" w:themeColor="text1"/>
          <w:sz w:val="24"/>
          <w:szCs w:val="24"/>
        </w:rPr>
        <w:t>l</w:t>
      </w:r>
      <w:r w:rsidR="00513FEA">
        <w:rPr>
          <w:rFonts w:ascii="AvantGarde Bk BT" w:hAnsi="AvantGarde Bk BT" w:cs="Arial"/>
          <w:color w:val="000000" w:themeColor="text1"/>
          <w:sz w:val="24"/>
          <w:szCs w:val="24"/>
        </w:rPr>
        <w:t xml:space="preserve"> sujeto obligado deberá observar en todo momento que la información solicitada </w:t>
      </w:r>
      <w:r w:rsidR="007F7971">
        <w:rPr>
          <w:rFonts w:ascii="AvantGarde Bk BT" w:hAnsi="AvantGarde Bk BT" w:cs="Arial"/>
          <w:color w:val="000000" w:themeColor="text1"/>
          <w:sz w:val="24"/>
          <w:szCs w:val="24"/>
        </w:rPr>
        <w:t xml:space="preserve">no se encuentre en los supuestos de excepción al derecho de acceso a la información pública y, en caso de ser así, atender a lo previsto la Ley de transparencia y los Lineamientos </w:t>
      </w:r>
      <w:r w:rsidR="007F7971" w:rsidRPr="007F7971">
        <w:rPr>
          <w:rFonts w:ascii="AvantGarde Bk BT" w:hAnsi="AvantGarde Bk BT" w:cs="Arial"/>
          <w:color w:val="000000" w:themeColor="text1"/>
          <w:sz w:val="24"/>
          <w:szCs w:val="24"/>
        </w:rPr>
        <w:t>generales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materia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y</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desclasificación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información,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así</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como</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para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elaboración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versiones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públicas</w:t>
      </w:r>
      <w:r w:rsidR="007F7971">
        <w:rPr>
          <w:rFonts w:ascii="AvantGarde Bk BT" w:hAnsi="AvantGarde Bk BT" w:cs="Arial"/>
          <w:color w:val="000000" w:themeColor="text1"/>
          <w:sz w:val="24"/>
          <w:szCs w:val="24"/>
        </w:rPr>
        <w:t>.</w:t>
      </w:r>
    </w:p>
    <w:p w14:paraId="72FF8F9A" w14:textId="5134FB4F" w:rsidR="00D47030" w:rsidRDefault="00D47030" w:rsidP="00250873">
      <w:pPr>
        <w:pStyle w:val="corte4fondo"/>
        <w:tabs>
          <w:tab w:val="left" w:pos="567"/>
        </w:tabs>
        <w:rPr>
          <w:rFonts w:ascii="AvantGarde Bk BT" w:hAnsi="AvantGarde Bk BT" w:cs="Arial"/>
          <w:color w:val="000000" w:themeColor="text1"/>
          <w:sz w:val="24"/>
          <w:szCs w:val="24"/>
        </w:rPr>
      </w:pPr>
    </w:p>
    <w:p w14:paraId="7899E2FB" w14:textId="3BD2B133" w:rsidR="00D47030" w:rsidRDefault="007A0385"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se hace </w:t>
      </w:r>
      <w:r w:rsidR="000F3E9D">
        <w:rPr>
          <w:rFonts w:ascii="AvantGarde Bk BT" w:hAnsi="AvantGarde Bk BT" w:cs="Arial"/>
          <w:color w:val="000000" w:themeColor="text1"/>
          <w:sz w:val="24"/>
          <w:szCs w:val="24"/>
        </w:rPr>
        <w:t>hincapié de</w:t>
      </w:r>
      <w:r>
        <w:rPr>
          <w:rFonts w:ascii="AvantGarde Bk BT" w:hAnsi="AvantGarde Bk BT" w:cs="Arial"/>
          <w:color w:val="000000" w:themeColor="text1"/>
          <w:sz w:val="24"/>
          <w:szCs w:val="24"/>
        </w:rPr>
        <w:t xml:space="preserve"> </w:t>
      </w:r>
      <w:r w:rsidR="000F3E9D">
        <w:rPr>
          <w:rFonts w:ascii="AvantGarde Bk BT" w:hAnsi="AvantGarde Bk BT" w:cs="Arial"/>
          <w:color w:val="000000" w:themeColor="text1"/>
          <w:sz w:val="24"/>
          <w:szCs w:val="24"/>
        </w:rPr>
        <w:t>que,</w:t>
      </w:r>
      <w:r>
        <w:rPr>
          <w:rFonts w:ascii="AvantGarde Bk BT" w:hAnsi="AvantGarde Bk BT" w:cs="Arial"/>
          <w:color w:val="000000" w:themeColor="text1"/>
          <w:sz w:val="24"/>
          <w:szCs w:val="24"/>
        </w:rPr>
        <w:t xml:space="preserve"> </w:t>
      </w:r>
      <w:r w:rsidR="00D47030">
        <w:rPr>
          <w:rFonts w:ascii="AvantGarde Bk BT" w:hAnsi="AvantGarde Bk BT" w:cs="Arial"/>
          <w:color w:val="000000" w:themeColor="text1"/>
          <w:sz w:val="24"/>
          <w:szCs w:val="24"/>
        </w:rPr>
        <w:t>en virtud del Principio de Afirmativa Ficta, la información deberá entregarse totalmente gratis al particular.</w:t>
      </w:r>
    </w:p>
    <w:p w14:paraId="18DCC4DA" w14:textId="4ED2C84B" w:rsidR="007F7971" w:rsidRDefault="007F7971" w:rsidP="000475EF">
      <w:pPr>
        <w:pStyle w:val="corte4fondo"/>
        <w:tabs>
          <w:tab w:val="left" w:pos="567"/>
        </w:tabs>
        <w:ind w:firstLine="0"/>
        <w:rPr>
          <w:rFonts w:ascii="AvantGarde Bk BT" w:hAnsi="AvantGarde Bk BT" w:cs="Arial"/>
          <w:color w:val="000000" w:themeColor="text1"/>
          <w:sz w:val="24"/>
          <w:szCs w:val="24"/>
        </w:rPr>
      </w:pPr>
    </w:p>
    <w:p w14:paraId="075ABD4A" w14:textId="77777777" w:rsidR="00DD03B0" w:rsidRPr="00513FEA" w:rsidRDefault="00DD03B0" w:rsidP="000475EF">
      <w:pPr>
        <w:pStyle w:val="corte4fondo"/>
        <w:tabs>
          <w:tab w:val="left" w:pos="567"/>
        </w:tabs>
        <w:ind w:firstLine="0"/>
        <w:rPr>
          <w:rFonts w:ascii="AvantGarde Bk BT" w:hAnsi="AvantGarde Bk BT" w:cs="Arial"/>
          <w:color w:val="000000" w:themeColor="text1"/>
          <w:sz w:val="24"/>
          <w:szCs w:val="24"/>
        </w:rPr>
      </w:pPr>
    </w:p>
    <w:p w14:paraId="3F567040" w14:textId="4FBE4DE1" w:rsidR="00250873" w:rsidRPr="007C5605"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250873" w:rsidRPr="007C5605">
        <w:rPr>
          <w:rFonts w:ascii="AvantGarde Bk BT" w:hAnsi="AvantGarde Bk BT" w:cs="Arial"/>
          <w:b/>
          <w:color w:val="000000" w:themeColor="text1"/>
          <w:sz w:val="24"/>
          <w:szCs w:val="24"/>
        </w:rPr>
        <w:t>. Modalidad de la información.</w:t>
      </w:r>
    </w:p>
    <w:p w14:paraId="721D24C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14:paraId="63181AB0" w14:textId="31177405" w:rsidR="00250873" w:rsidRDefault="00250873" w:rsidP="00250873">
      <w:pPr>
        <w:pStyle w:val="corte4fondo"/>
        <w:tabs>
          <w:tab w:val="left" w:pos="567"/>
        </w:tabs>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w:t>
      </w:r>
      <w:r w:rsidRPr="00D67102">
        <w:rPr>
          <w:rFonts w:ascii="AvantGarde Bk BT" w:hAnsi="AvantGarde Bk BT" w:cs="Arial"/>
          <w:color w:val="000000" w:themeColor="text1"/>
          <w:sz w:val="24"/>
          <w:szCs w:val="24"/>
        </w:rPr>
        <w:lastRenderedPageBreak/>
        <w:t xml:space="preserve">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2EC4C7A7"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4E2C12DB" w14:textId="72082ABF" w:rsidR="00250873" w:rsidRPr="00831D47"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DC3673"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2EC802C8" w14:textId="65ADA509" w:rsidR="003F00CD" w:rsidRDefault="00250873" w:rsidP="003F00CD">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7A0385">
        <w:rPr>
          <w:rFonts w:ascii="AvantGarde Bk BT" w:hAnsi="AvantGarde Bk BT" w:cs="Arial"/>
          <w:color w:val="000000" w:themeColor="text1"/>
          <w:sz w:val="24"/>
          <w:szCs w:val="24"/>
          <w:u w:val="single"/>
        </w:rPr>
        <w:t>03 tres</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45A5362" w14:textId="77777777" w:rsidR="00A95DD9" w:rsidRDefault="00A95DD9" w:rsidP="00250873">
      <w:pPr>
        <w:pStyle w:val="corte4fondo"/>
        <w:tabs>
          <w:tab w:val="left" w:pos="567"/>
        </w:tabs>
        <w:rPr>
          <w:rFonts w:ascii="AvantGarde Bk BT" w:hAnsi="AvantGarde Bk BT" w:cs="Arial"/>
          <w:color w:val="000000" w:themeColor="text1"/>
          <w:sz w:val="24"/>
          <w:szCs w:val="24"/>
        </w:rPr>
      </w:pPr>
    </w:p>
    <w:p w14:paraId="1470596F" w14:textId="0AAF01F8"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513FEA">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Medida de apremio en caso de incumplimiento a la resolución.</w:t>
      </w:r>
    </w:p>
    <w:p w14:paraId="3523B823"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65BF520" w14:textId="043F22BF" w:rsidR="00250873" w:rsidRDefault="00250873" w:rsidP="00250873">
      <w:pPr>
        <w:pStyle w:val="corte4fondo"/>
        <w:tabs>
          <w:tab w:val="left" w:pos="567"/>
        </w:tabs>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sidR="00FE1468">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w:t>
      </w:r>
      <w:r w:rsidR="00FE1468" w:rsidRPr="00FE1468">
        <w:rPr>
          <w:rFonts w:ascii="AvantGarde Bk BT" w:hAnsi="AvantGarde Bk BT" w:cs="Arial"/>
          <w:color w:val="000000" w:themeColor="text1"/>
          <w:sz w:val="24"/>
          <w:szCs w:val="24"/>
        </w:rPr>
        <w:t>, fracción I</w:t>
      </w:r>
      <w:r w:rsidRPr="00FE1468">
        <w:rPr>
          <w:rFonts w:ascii="AvantGarde Bk BT" w:hAnsi="AvantGarde Bk BT" w:cs="Arial"/>
          <w:color w:val="000000" w:themeColor="text1"/>
          <w:sz w:val="24"/>
          <w:szCs w:val="24"/>
        </w:rPr>
        <w:t xml:space="preserve"> de la Ley de Transparencia, </w:t>
      </w:r>
      <w:r w:rsidR="00FE1468" w:rsidRPr="00FE1468">
        <w:rPr>
          <w:rFonts w:ascii="AvantGarde Bk BT" w:hAnsi="AvantGarde Bk BT" w:cs="Arial"/>
          <w:color w:val="000000" w:themeColor="text1"/>
          <w:sz w:val="24"/>
          <w:szCs w:val="24"/>
        </w:rPr>
        <w:t>consistente en amonestación p</w:t>
      </w:r>
      <w:r w:rsidR="00C01C44">
        <w:rPr>
          <w:rFonts w:ascii="AvantGarde Bk BT" w:hAnsi="AvantGarde Bk BT" w:cs="Arial"/>
          <w:color w:val="000000" w:themeColor="text1"/>
          <w:sz w:val="24"/>
          <w:szCs w:val="24"/>
        </w:rPr>
        <w:t>ública</w:t>
      </w:r>
      <w:r w:rsidR="00FE1468" w:rsidRPr="00FE1468">
        <w:rPr>
          <w:rFonts w:ascii="AvantGarde Bk BT" w:hAnsi="AvantGarde Bk BT" w:cs="Arial"/>
          <w:color w:val="000000" w:themeColor="text1"/>
          <w:sz w:val="24"/>
          <w:szCs w:val="24"/>
        </w:rPr>
        <w:t xml:space="preserve">, lo anterior en virtud </w:t>
      </w:r>
      <w:r w:rsidRPr="00FE1468">
        <w:rPr>
          <w:rFonts w:ascii="AvantGarde Bk BT" w:hAnsi="AvantGarde Bk BT" w:cs="Arial"/>
          <w:color w:val="000000" w:themeColor="text1"/>
          <w:sz w:val="24"/>
          <w:szCs w:val="24"/>
        </w:rPr>
        <w:t>de que este órgano colegiado debe garantizar el debido cumplimiento al derecho humano de acceso a la información pública.</w:t>
      </w:r>
    </w:p>
    <w:p w14:paraId="0F5AE273" w14:textId="7B0722C6" w:rsidR="00297CE3" w:rsidRDefault="00297CE3" w:rsidP="00684218">
      <w:pPr>
        <w:pStyle w:val="corte4fondo"/>
        <w:tabs>
          <w:tab w:val="left" w:pos="567"/>
        </w:tabs>
        <w:rPr>
          <w:rFonts w:ascii="AvantGarde Bk BT" w:hAnsi="AvantGarde Bk BT" w:cs="Arial"/>
          <w:color w:val="000000" w:themeColor="text1"/>
          <w:sz w:val="24"/>
          <w:szCs w:val="24"/>
        </w:rPr>
      </w:pPr>
    </w:p>
    <w:p w14:paraId="5BCE0DEC" w14:textId="77777777" w:rsidR="00DD03B0" w:rsidRDefault="00DD03B0" w:rsidP="00684218">
      <w:pPr>
        <w:pStyle w:val="corte4fondo"/>
        <w:tabs>
          <w:tab w:val="left" w:pos="567"/>
        </w:tabs>
        <w:rPr>
          <w:rFonts w:ascii="AvantGarde Bk BT" w:hAnsi="AvantGarde Bk BT" w:cs="Arial"/>
          <w:color w:val="000000" w:themeColor="text1"/>
          <w:sz w:val="24"/>
          <w:szCs w:val="24"/>
        </w:rPr>
      </w:pPr>
    </w:p>
    <w:p w14:paraId="6B567DB2" w14:textId="3BA288A6" w:rsidR="00684218" w:rsidRDefault="00513FEA" w:rsidP="00684218">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6.6</w:t>
      </w:r>
      <w:r w:rsidR="00684218" w:rsidRPr="008E469A">
        <w:rPr>
          <w:rFonts w:ascii="AvantGarde Bk BT" w:hAnsi="AvantGarde Bk BT" w:cs="Arial"/>
          <w:b/>
          <w:color w:val="000000" w:themeColor="text1"/>
          <w:sz w:val="24"/>
          <w:szCs w:val="24"/>
        </w:rPr>
        <w:t>. Medio de impugnación.</w:t>
      </w:r>
    </w:p>
    <w:p w14:paraId="437CC0B7" w14:textId="77777777" w:rsidR="00F24A31" w:rsidRPr="00684218" w:rsidRDefault="00F24A31" w:rsidP="00684218">
      <w:pPr>
        <w:pStyle w:val="corte4fondo"/>
        <w:tabs>
          <w:tab w:val="left" w:pos="567"/>
        </w:tabs>
        <w:rPr>
          <w:rFonts w:ascii="AvantGarde Bk BT" w:hAnsi="AvantGarde Bk BT" w:cs="Arial"/>
          <w:b/>
          <w:color w:val="000000" w:themeColor="text1"/>
          <w:sz w:val="24"/>
          <w:szCs w:val="24"/>
        </w:rPr>
      </w:pPr>
    </w:p>
    <w:p w14:paraId="7020FABE" w14:textId="77777777" w:rsidR="003358EE" w:rsidRDefault="00684218" w:rsidP="003358E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8E469A">
        <w:rPr>
          <w:rFonts w:ascii="AvantGarde Bk BT" w:hAnsi="AvantGarde Bk BT" w:cs="Arial"/>
          <w:color w:val="000000" w:themeColor="text1"/>
          <w:sz w:val="24"/>
          <w:szCs w:val="24"/>
        </w:rPr>
        <w:lastRenderedPageBreak/>
        <w:t>determinación puede acudir ante el Instituto Nacional de Transparencia, Acceso a la Información y Protección de Datos Personales o ante el Poder Judicial de la Federación.</w:t>
      </w:r>
    </w:p>
    <w:p w14:paraId="3C4031C0" w14:textId="77777777" w:rsidR="003358EE" w:rsidRDefault="003358EE" w:rsidP="003358EE">
      <w:pPr>
        <w:pStyle w:val="corte4fondo"/>
        <w:tabs>
          <w:tab w:val="left" w:pos="567"/>
        </w:tabs>
        <w:rPr>
          <w:rFonts w:ascii="AvantGarde Bk BT" w:hAnsi="AvantGarde Bk BT" w:cs="Arial"/>
          <w:color w:val="000000" w:themeColor="text1"/>
          <w:sz w:val="24"/>
          <w:szCs w:val="24"/>
        </w:rPr>
      </w:pPr>
    </w:p>
    <w:p w14:paraId="05C16DCB" w14:textId="77777777" w:rsidR="003358EE" w:rsidRPr="003358EE" w:rsidRDefault="003358EE" w:rsidP="003358EE">
      <w:pPr>
        <w:pStyle w:val="corte4fondo"/>
        <w:tabs>
          <w:tab w:val="left" w:pos="567"/>
        </w:tabs>
        <w:rPr>
          <w:rFonts w:ascii="AvantGarde Bk BT" w:hAnsi="AvantGarde Bk BT" w:cs="Arial"/>
          <w:color w:val="000000" w:themeColor="text1"/>
          <w:sz w:val="24"/>
          <w:szCs w:val="24"/>
        </w:rPr>
      </w:pPr>
    </w:p>
    <w:p w14:paraId="689DAC75"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3EDE8B0" w14:textId="77777777" w:rsidR="003358EE" w:rsidRDefault="003358EE" w:rsidP="00250873">
      <w:pPr>
        <w:pStyle w:val="corte4fondo"/>
        <w:tabs>
          <w:tab w:val="left" w:pos="567"/>
        </w:tabs>
        <w:jc w:val="center"/>
        <w:rPr>
          <w:rFonts w:ascii="AvantGarde Bk BT" w:hAnsi="AvantGarde Bk BT" w:cs="Arial"/>
          <w:b/>
          <w:color w:val="000000" w:themeColor="text1"/>
          <w:sz w:val="24"/>
          <w:szCs w:val="24"/>
        </w:rPr>
      </w:pPr>
    </w:p>
    <w:p w14:paraId="590455CB"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165C2CE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9328F4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3B05576" w14:textId="55B16550"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con </w:t>
      </w:r>
      <w:r w:rsidR="00D47030" w:rsidRPr="008A00C2">
        <w:rPr>
          <w:rFonts w:ascii="AvantGarde Bk BT" w:hAnsi="AvantGarde Bk BT" w:cs="Arial"/>
          <w:color w:val="000000" w:themeColor="text1"/>
          <w:sz w:val="24"/>
          <w:szCs w:val="24"/>
        </w:rPr>
        <w:t xml:space="preserve">artículo 164 de la Ley de Transparencia y Acceso a la Información Pública del Estado </w:t>
      </w:r>
      <w:r w:rsidR="00D47030" w:rsidRPr="008A00C2">
        <w:rPr>
          <w:rFonts w:ascii="AvantGarde Bk BT" w:hAnsi="AvantGarde Bk BT" w:cs="Arial"/>
          <w:b/>
          <w:color w:val="000000" w:themeColor="text1"/>
          <w:sz w:val="24"/>
          <w:szCs w:val="24"/>
        </w:rPr>
        <w:t>APLICA EL PRINCIPIO DE AFIRMATIVA FICTA</w:t>
      </w:r>
      <w:r w:rsidR="00CE1E98" w:rsidRPr="00CE1E98">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ECB7D9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F9CD42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83CA0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099A6FA3" w14:textId="1B798915" w:rsidR="00D47030" w:rsidRDefault="00250873" w:rsidP="000F3E9D">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0F3E9D">
        <w:rPr>
          <w:rFonts w:ascii="AvantGarde Bk BT" w:hAnsi="AvantGarde Bk BT"/>
          <w:color w:val="000000" w:themeColor="text1"/>
          <w:sz w:val="24"/>
          <w:szCs w:val="24"/>
        </w:rPr>
        <w:t>26 veintiséis de marzo</w:t>
      </w:r>
      <w:r w:rsidRPr="00B43B45">
        <w:rPr>
          <w:rFonts w:ascii="AvantGarde Bk BT" w:hAnsi="AvantGarde Bk BT"/>
          <w:color w:val="000000" w:themeColor="text1"/>
          <w:sz w:val="24"/>
          <w:szCs w:val="24"/>
        </w:rPr>
        <w:t xml:space="preserve"> de 201</w:t>
      </w:r>
      <w:r w:rsidR="0043684F">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sidR="0043684F">
        <w:rPr>
          <w:rFonts w:ascii="AvantGarde Bk BT" w:hAnsi="AvantGarde Bk BT"/>
          <w:color w:val="000000" w:themeColor="text1"/>
          <w:sz w:val="24"/>
          <w:szCs w:val="24"/>
        </w:rPr>
        <w:t>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5A9AD355" w14:textId="77777777" w:rsidR="00D47030" w:rsidRDefault="00D47030" w:rsidP="003358EE">
      <w:pPr>
        <w:pStyle w:val="corte4fondo"/>
        <w:tabs>
          <w:tab w:val="left" w:pos="567"/>
        </w:tabs>
        <w:rPr>
          <w:rFonts w:ascii="AvantGarde Bk BT" w:hAnsi="AvantGarde Bk BT"/>
          <w:color w:val="000000" w:themeColor="text1"/>
          <w:sz w:val="24"/>
          <w:szCs w:val="24"/>
        </w:rPr>
      </w:pPr>
    </w:p>
    <w:p w14:paraId="00F8B4E1" w14:textId="77777777" w:rsidR="009E4194" w:rsidRPr="003358EE" w:rsidRDefault="003358EE"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COMISIONADO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COMISIONADA</w:t>
      </w:r>
      <w:r w:rsidR="00EB088F" w:rsidRPr="003358EE">
        <w:rPr>
          <w:rFonts w:ascii="AvantGarde Bk BT" w:hAnsi="AvantGarde Bk BT" w:cs="Arial"/>
          <w:b/>
          <w:color w:val="000000" w:themeColor="text1"/>
          <w:lang w:val="es-MX"/>
        </w:rPr>
        <w:t xml:space="preserve"> PRESIDENT</w:t>
      </w:r>
      <w:r w:rsidR="0033362C" w:rsidRPr="003358EE">
        <w:rPr>
          <w:rFonts w:ascii="AvantGarde Bk BT" w:hAnsi="AvantGarde Bk BT" w:cs="Arial"/>
          <w:b/>
          <w:color w:val="000000" w:themeColor="text1"/>
          <w:lang w:val="es-MX"/>
        </w:rPr>
        <w:t>E</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0C42140B" w14:textId="77777777" w:rsidR="003358EE" w:rsidRDefault="009E4194"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5F55F0" w:rsidRPr="003358EE">
        <w:rPr>
          <w:rFonts w:ascii="AvantGarde Bk BT" w:hAnsi="AvantGarde Bk BT" w:cs="Arial"/>
          <w:b/>
          <w:color w:val="000000" w:themeColor="text1"/>
          <w:lang w:val="es-MX"/>
        </w:rPr>
        <w:t>LIC. PAULINA SÁNCHEZ PÉREZ DEL POZO</w:t>
      </w:r>
      <w:r w:rsidRPr="003358EE">
        <w:rPr>
          <w:rFonts w:ascii="AvantGarde Bk BT" w:hAnsi="AvantGarde Bk BT" w:cs="Arial"/>
          <w:b/>
          <w:color w:val="000000" w:themeColor="text1"/>
          <w:lang w:val="es-MX"/>
        </w:rPr>
        <w:t>.</w:t>
      </w:r>
    </w:p>
    <w:p w14:paraId="1FE5F84F" w14:textId="5473B069" w:rsidR="00D47030" w:rsidRDefault="00D47030" w:rsidP="003F00CD">
      <w:pPr>
        <w:pStyle w:val="NormalWeb"/>
        <w:rPr>
          <w:rFonts w:ascii="AvantGarde Bk BT" w:hAnsi="AvantGarde Bk BT" w:cs="Arial"/>
          <w:b/>
          <w:color w:val="000000" w:themeColor="text1"/>
          <w:lang w:val="es-MX"/>
        </w:rPr>
      </w:pPr>
    </w:p>
    <w:p w14:paraId="75439CF2" w14:textId="77777777" w:rsidR="00D47030" w:rsidRDefault="00D47030" w:rsidP="003358EE">
      <w:pPr>
        <w:pStyle w:val="NormalWeb"/>
        <w:jc w:val="center"/>
        <w:rPr>
          <w:rFonts w:ascii="AvantGarde Bk BT" w:hAnsi="AvantGarde Bk BT" w:cs="Arial"/>
          <w:b/>
          <w:color w:val="000000" w:themeColor="text1"/>
          <w:lang w:val="es-MX"/>
        </w:rPr>
      </w:pPr>
    </w:p>
    <w:p w14:paraId="0A2A807B" w14:textId="77777777" w:rsidR="008C19C4" w:rsidRPr="003358EE" w:rsidRDefault="008C19C4" w:rsidP="003358EE">
      <w:pPr>
        <w:pStyle w:val="NormalWeb"/>
        <w:jc w:val="center"/>
        <w:rPr>
          <w:rFonts w:ascii="AvantGarde Bk BT" w:hAnsi="AvantGarde Bk BT" w:cs="Arial"/>
          <w:b/>
          <w:color w:val="000000" w:themeColor="text1"/>
          <w:lang w:val="es-MX"/>
        </w:rPr>
      </w:pPr>
    </w:p>
    <w:p w14:paraId="660B72CC" w14:textId="77777777"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SECRETARIA DE PLENO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77777777" w:rsidR="009E4194" w:rsidRPr="003358EE" w:rsidRDefault="009E4194" w:rsidP="009E4194">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LIC.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30477D87" w14:textId="10D406D9" w:rsidR="00FC38F9" w:rsidRPr="001314EC" w:rsidRDefault="001314EC" w:rsidP="000E3219">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94BD1E9"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F73984">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0F3E9D">
        <w:rPr>
          <w:rFonts w:ascii="AvantGarde Bk BT" w:hAnsi="AvantGarde Bk BT" w:cs="Arial"/>
          <w:color w:val="000000" w:themeColor="text1"/>
          <w:sz w:val="14"/>
          <w:szCs w:val="14"/>
        </w:rPr>
        <w:t>26 veintiséis de marzo</w:t>
      </w:r>
      <w:r>
        <w:rPr>
          <w:rFonts w:ascii="AvantGarde Bk BT" w:hAnsi="AvantGarde Bk BT" w:cs="Arial"/>
          <w:color w:val="000000" w:themeColor="text1"/>
          <w:sz w:val="14"/>
          <w:szCs w:val="14"/>
        </w:rPr>
        <w:t xml:space="preserve"> de 201</w:t>
      </w:r>
      <w:r w:rsidR="0043684F">
        <w:rPr>
          <w:rFonts w:ascii="AvantGarde Bk BT" w:hAnsi="AvantGarde Bk BT" w:cs="Arial"/>
          <w:color w:val="000000" w:themeColor="text1"/>
          <w:sz w:val="14"/>
          <w:szCs w:val="14"/>
        </w:rPr>
        <w:t>9</w:t>
      </w:r>
      <w:r>
        <w:rPr>
          <w:rFonts w:ascii="AvantGarde Bk BT" w:hAnsi="AvantGarde Bk BT" w:cs="Arial"/>
          <w:color w:val="000000" w:themeColor="text1"/>
          <w:sz w:val="14"/>
          <w:szCs w:val="14"/>
        </w:rPr>
        <w:t xml:space="preserve"> dos mil dieci</w:t>
      </w:r>
      <w:r w:rsidR="0043684F">
        <w:rPr>
          <w:rFonts w:ascii="AvantGarde Bk BT" w:hAnsi="AvantGarde Bk BT" w:cs="Arial"/>
          <w:color w:val="000000" w:themeColor="text1"/>
          <w:sz w:val="14"/>
          <w:szCs w:val="14"/>
        </w:rPr>
        <w:t>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7F7971">
        <w:rPr>
          <w:rFonts w:ascii="AvantGarde Bk BT" w:hAnsi="AvantGarde Bk BT" w:cs="Arial"/>
          <w:color w:val="000000" w:themeColor="text1"/>
          <w:sz w:val="14"/>
          <w:szCs w:val="14"/>
        </w:rPr>
        <w:t>l recurso de revisión RR-</w:t>
      </w:r>
      <w:r w:rsidR="000F3E9D">
        <w:rPr>
          <w:rFonts w:ascii="AvantGarde Bk BT" w:hAnsi="AvantGarde Bk BT" w:cs="Arial"/>
          <w:color w:val="000000" w:themeColor="text1"/>
          <w:sz w:val="14"/>
          <w:szCs w:val="14"/>
        </w:rPr>
        <w:t>148/2019</w:t>
      </w:r>
      <w:r>
        <w:rPr>
          <w:rFonts w:ascii="AvantGarde Bk BT" w:hAnsi="AvantGarde Bk BT" w:cs="Arial"/>
          <w:color w:val="000000" w:themeColor="text1"/>
          <w:sz w:val="14"/>
          <w:szCs w:val="14"/>
        </w:rPr>
        <w:t xml:space="preserve">-1 </w:t>
      </w:r>
      <w:r w:rsidR="000F3E9D">
        <w:rPr>
          <w:rFonts w:ascii="AvantGarde Bk BT" w:hAnsi="AvantGarde Bk BT" w:cs="Arial"/>
          <w:color w:val="000000" w:themeColor="text1"/>
          <w:sz w:val="14"/>
          <w:szCs w:val="14"/>
        </w:rPr>
        <w:t>PLATAFORMA</w:t>
      </w:r>
      <w:r>
        <w:rPr>
          <w:rFonts w:ascii="AvantGarde Bk BT" w:hAnsi="AvantGarde Bk BT" w:cs="Arial"/>
          <w:color w:val="000000" w:themeColor="text1"/>
          <w:sz w:val="14"/>
          <w:szCs w:val="14"/>
        </w:rPr>
        <w:t>.)</w:t>
      </w: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F41B41" w14:textId="77777777" w:rsidR="00F25F4E" w:rsidRDefault="00F25F4E" w:rsidP="003864ED">
      <w:pPr>
        <w:spacing w:after="0" w:line="240" w:lineRule="auto"/>
      </w:pPr>
      <w:r>
        <w:separator/>
      </w:r>
    </w:p>
  </w:endnote>
  <w:endnote w:type="continuationSeparator" w:id="0">
    <w:p w14:paraId="4E720085" w14:textId="77777777" w:rsidR="00F25F4E" w:rsidRDefault="00F25F4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246945" w14:textId="77777777" w:rsidR="00F25F4E" w:rsidRDefault="00F25F4E" w:rsidP="003864ED">
      <w:pPr>
        <w:spacing w:after="0" w:line="240" w:lineRule="auto"/>
      </w:pPr>
      <w:r>
        <w:separator/>
      </w:r>
    </w:p>
  </w:footnote>
  <w:footnote w:type="continuationSeparator" w:id="0">
    <w:p w14:paraId="632FE50D" w14:textId="77777777" w:rsidR="00F25F4E" w:rsidRDefault="00F25F4E" w:rsidP="003864ED">
      <w:pPr>
        <w:spacing w:after="0" w:line="240" w:lineRule="auto"/>
      </w:pPr>
      <w:r>
        <w:continuationSeparator/>
      </w:r>
    </w:p>
  </w:footnote>
  <w:footnote w:id="1">
    <w:p w14:paraId="40484A23" w14:textId="7DE26CF8" w:rsidR="001B46C0" w:rsidRDefault="001B46C0">
      <w:pPr>
        <w:pStyle w:val="Textonotapie"/>
      </w:pPr>
      <w:r>
        <w:rPr>
          <w:rStyle w:val="Refdenotaalpie"/>
        </w:rPr>
        <w:footnoteRef/>
      </w:r>
      <w:r>
        <w:t xml:space="preserve"> </w:t>
      </w:r>
      <w:r>
        <w:t>ARTÍCULO 179. El recurso será desechado por improcedente cuando:</w:t>
      </w:r>
    </w:p>
    <w:p w14:paraId="727B531D" w14:textId="1BBAC546" w:rsidR="001B46C0" w:rsidRDefault="001B46C0">
      <w:pPr>
        <w:pStyle w:val="Textonotapie"/>
      </w:pPr>
      <w:r>
        <w:t>[…]</w:t>
      </w:r>
    </w:p>
    <w:p w14:paraId="672ECE31" w14:textId="4D1A24FD" w:rsidR="001B46C0" w:rsidRDefault="00BB69B8">
      <w:pPr>
        <w:pStyle w:val="Textonotapie"/>
      </w:pPr>
      <w:r>
        <w:t>VII. Se trate de una consulta</w:t>
      </w:r>
    </w:p>
    <w:p w14:paraId="7F09DD4A" w14:textId="019A6F18" w:rsidR="00BB69B8" w:rsidRDefault="00BB69B8">
      <w:pPr>
        <w:pStyle w:val="Textonotapie"/>
      </w:pPr>
      <w:r>
        <w:t>[…].</w:t>
      </w:r>
    </w:p>
  </w:footnote>
  <w:footnote w:id="2">
    <w:p w14:paraId="60362D4A" w14:textId="54AE9222" w:rsidR="001B46C0" w:rsidRDefault="001B46C0">
      <w:pPr>
        <w:pStyle w:val="Textonotapie"/>
      </w:pPr>
      <w:r>
        <w:rPr>
          <w:rStyle w:val="Refdenotaalpie"/>
        </w:rPr>
        <w:footnoteRef/>
      </w:r>
      <w:r>
        <w:t xml:space="preserve"> </w:t>
      </w:r>
      <w:r w:rsidR="00BB69B8">
        <w:t>ARTÍCULO 180. El recurso será sobreseído, en todo o en parte, cuando, una vez admitido, se actualicen alguno de los siguientes supuestos:</w:t>
      </w:r>
    </w:p>
    <w:p w14:paraId="48290BC7" w14:textId="7DDA4383" w:rsidR="00BB69B8" w:rsidRDefault="00BB69B8">
      <w:pPr>
        <w:pStyle w:val="Textonotapie"/>
      </w:pPr>
      <w:r>
        <w:t>[…]</w:t>
      </w:r>
    </w:p>
    <w:p w14:paraId="395CF0A0" w14:textId="40084E12" w:rsidR="00BB69B8" w:rsidRDefault="00BB69B8">
      <w:pPr>
        <w:pStyle w:val="Textonotapie"/>
      </w:pPr>
      <w:r>
        <w:t>IV. Admitido el recurso de revisión, aparezca alguna causal de improcedencia en los términos del presente Capítulo.</w:t>
      </w:r>
    </w:p>
  </w:footnote>
  <w:footnote w:id="3">
    <w:p w14:paraId="49A911EB" w14:textId="1BF012FB" w:rsidR="002D5B32" w:rsidRDefault="002D5B32" w:rsidP="00C1106E">
      <w:pPr>
        <w:pStyle w:val="Textonotapie"/>
        <w:jc w:val="both"/>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6414E898" w14:textId="26E9B6FA" w:rsidR="002D5B32" w:rsidRDefault="002D5B32" w:rsidP="00C1106E">
      <w:pPr>
        <w:pStyle w:val="Textonotapie"/>
        <w:jc w:val="both"/>
      </w:pPr>
      <w:r>
        <w:t>[…]</w:t>
      </w:r>
    </w:p>
    <w:p w14:paraId="6F1D6BA9" w14:textId="49943BD8" w:rsidR="002D5B32" w:rsidRDefault="002D5B32" w:rsidP="00C1106E">
      <w:pPr>
        <w:pStyle w:val="Textonotapie"/>
        <w:jc w:val="both"/>
      </w:pPr>
      <w:r>
        <w:t>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p w14:paraId="3E324530" w14:textId="77777777" w:rsidR="00C1106E" w:rsidRDefault="002D5B32" w:rsidP="00C1106E">
      <w:pPr>
        <w:pStyle w:val="Textonotapie"/>
        <w:jc w:val="both"/>
      </w:pPr>
      <w:r>
        <w:t>[…]</w:t>
      </w:r>
    </w:p>
    <w:p w14:paraId="3D092A24" w14:textId="77777777" w:rsidR="00C1106E" w:rsidRDefault="00C1106E" w:rsidP="00C1106E">
      <w:pPr>
        <w:pStyle w:val="Textonotapie"/>
        <w:jc w:val="both"/>
      </w:pPr>
      <w:r w:rsidRPr="00C1106E">
        <w:t>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56C8A1D6" w14:textId="5E3F9B2A" w:rsidR="002D5B32" w:rsidRDefault="00C1106E">
      <w:pPr>
        <w:pStyle w:val="Textonotapie"/>
      </w:pPr>
      <w:r>
        <w:t>[…]</w:t>
      </w:r>
      <w:r w:rsidR="002D5B32">
        <w:t>.</w:t>
      </w:r>
    </w:p>
  </w:footnote>
  <w:footnote w:id="4">
    <w:p w14:paraId="0FD25F8C" w14:textId="65F9C2BF" w:rsidR="00E85107" w:rsidRPr="00E85107" w:rsidRDefault="00E85107" w:rsidP="001454E9">
      <w:pPr>
        <w:pStyle w:val="Textonotapie"/>
        <w:jc w:val="both"/>
        <w:rPr>
          <w:lang w:val="es-ES_tradnl"/>
        </w:rPr>
      </w:pPr>
      <w:r w:rsidRPr="00E85107">
        <w:rPr>
          <w:rStyle w:val="Refdenotaalpie"/>
        </w:rPr>
        <w:footnoteRef/>
      </w:r>
      <w:r w:rsidRPr="00E85107">
        <w:t xml:space="preserve"> </w:t>
      </w:r>
      <w:r w:rsidRPr="00E85107">
        <w:rPr>
          <w:bCs/>
          <w:lang w:val="es-ES_tradnl"/>
        </w:rPr>
        <w:t xml:space="preserve">ARTÍCULO 61. </w:t>
      </w:r>
      <w:r w:rsidRPr="00E85107">
        <w:rPr>
          <w:lang w:val="es-ES_tradnl"/>
        </w:rPr>
        <w:t xml:space="preserve">Los servidores </w:t>
      </w:r>
      <w:r w:rsidR="001175BB" w:rsidRPr="00E85107">
        <w:rPr>
          <w:lang w:val="es-ES_tradnl"/>
        </w:rPr>
        <w:t>públicos</w:t>
      </w:r>
      <w:r w:rsidRPr="00E85107">
        <w:rPr>
          <w:lang w:val="es-ES_tradnl"/>
        </w:rPr>
        <w:t xml:space="preserve"> y las </w:t>
      </w:r>
      <w:r w:rsidR="001175BB" w:rsidRPr="00E85107">
        <w:rPr>
          <w:lang w:val="es-ES_tradnl"/>
        </w:rPr>
        <w:t>áreas</w:t>
      </w:r>
      <w:r w:rsidRPr="00E85107">
        <w:rPr>
          <w:lang w:val="es-ES_tradnl"/>
        </w:rPr>
        <w:t xml:space="preserve"> de los sujetos obligados que formulen, produzcan, procesen, administren, archiven y resguarden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son responsables de la misma y </w:t>
      </w:r>
      <w:r w:rsidR="001175BB" w:rsidRPr="00E85107">
        <w:rPr>
          <w:lang w:val="es-ES_tradnl"/>
        </w:rPr>
        <w:t>están</w:t>
      </w:r>
      <w:r w:rsidRPr="00E85107">
        <w:rPr>
          <w:lang w:val="es-ES_tradnl"/>
        </w:rPr>
        <w:t xml:space="preserve"> obligados a permitir el ejercicio del derecho de acceso a la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en los </w:t>
      </w:r>
      <w:r w:rsidR="001175BB" w:rsidRPr="00E85107">
        <w:rPr>
          <w:lang w:val="es-ES_tradnl"/>
        </w:rPr>
        <w:t>términos</w:t>
      </w:r>
      <w:r w:rsidRPr="00E85107">
        <w:rPr>
          <w:lang w:val="es-ES_tradnl"/>
        </w:rPr>
        <w:t xml:space="preserve"> de esta Ley. </w:t>
      </w:r>
    </w:p>
    <w:p w14:paraId="14A84A84" w14:textId="06F89090" w:rsidR="00E85107" w:rsidRPr="00E85107" w:rsidRDefault="00E85107" w:rsidP="001454E9">
      <w:pPr>
        <w:pStyle w:val="Textonotapie"/>
        <w:jc w:val="both"/>
        <w:rPr>
          <w:lang w:val="es-ES_tradnl"/>
        </w:rPr>
      </w:pPr>
      <w:r w:rsidRPr="00E85107">
        <w:rPr>
          <w:lang w:val="es-ES_tradnl"/>
        </w:rPr>
        <w:t xml:space="preserve">La </w:t>
      </w:r>
      <w:r w:rsidR="001175BB" w:rsidRPr="00E85107">
        <w:rPr>
          <w:lang w:val="es-ES_tradnl"/>
        </w:rPr>
        <w:t>obligación</w:t>
      </w:r>
      <w:r w:rsidRPr="00E85107">
        <w:rPr>
          <w:lang w:val="es-ES_tradnl"/>
        </w:rPr>
        <w:t xml:space="preserve"> de los sujetos obligados de proporcionar </w:t>
      </w:r>
      <w:r w:rsidR="001175BB" w:rsidRPr="00E85107">
        <w:rPr>
          <w:lang w:val="es-ES_tradnl"/>
        </w:rPr>
        <w:t>información</w:t>
      </w:r>
      <w:r w:rsidRPr="00E85107">
        <w:rPr>
          <w:lang w:val="es-ES_tradnl"/>
        </w:rPr>
        <w:t xml:space="preserve"> no comprende el procesamiento de la misma, ni el presentarla conforme al </w:t>
      </w:r>
      <w:r w:rsidR="001175BB" w:rsidRPr="00E85107">
        <w:rPr>
          <w:lang w:val="es-ES_tradnl"/>
        </w:rPr>
        <w:t>interés</w:t>
      </w:r>
      <w:r w:rsidRPr="00E85107">
        <w:rPr>
          <w:lang w:val="es-ES_tradnl"/>
        </w:rPr>
        <w:t xml:space="preserve"> del solicitante. </w:t>
      </w:r>
    </w:p>
    <w:p w14:paraId="6A06B3E6" w14:textId="42FD86DC" w:rsidR="00E85107" w:rsidRPr="00E85107" w:rsidRDefault="00E85107" w:rsidP="001454E9">
      <w:pPr>
        <w:pStyle w:val="Textonotapie"/>
        <w:jc w:val="both"/>
        <w:rPr>
          <w:lang w:val="es-ES"/>
        </w:rPr>
      </w:pPr>
    </w:p>
  </w:footnote>
  <w:footnote w:id="5">
    <w:p w14:paraId="64BA84E9" w14:textId="77777777" w:rsidR="0097647F" w:rsidRDefault="0097647F" w:rsidP="0097647F">
      <w:pPr>
        <w:pStyle w:val="Textonotapie"/>
        <w:jc w:val="both"/>
      </w:pPr>
      <w:r>
        <w:rPr>
          <w:rStyle w:val="Refdenotaalpie"/>
        </w:rPr>
        <w:footnoteRef/>
      </w:r>
      <w:r>
        <w:t xml:space="preserve"> ARTÍCULO 18. Los sujetos obligados deberán documentar todo acto que derive del ejercicio de sus facultades, competencias o funciones.</w:t>
      </w:r>
    </w:p>
    <w:p w14:paraId="6289BABB" w14:textId="77777777" w:rsidR="0097647F" w:rsidRDefault="0097647F" w:rsidP="0097647F">
      <w:pPr>
        <w:pStyle w:val="Textonotapie"/>
        <w:jc w:val="both"/>
      </w:pPr>
      <w: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58CD7AD6" w14:textId="77777777" w:rsidR="0097647F" w:rsidRDefault="0097647F" w:rsidP="0097647F">
      <w:pPr>
        <w:pStyle w:val="Textonotapie"/>
        <w:jc w:val="both"/>
      </w:pPr>
      <w: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DEE5AF4" w14:textId="77777777" w:rsidR="0097647F" w:rsidRDefault="0097647F" w:rsidP="0097647F">
      <w:pPr>
        <w:pStyle w:val="Textonotapie"/>
        <w:jc w:val="both"/>
      </w:pPr>
      <w: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C241C1C" w14:textId="77777777" w:rsidR="0097647F" w:rsidRDefault="0097647F" w:rsidP="0097647F">
      <w:pPr>
        <w:pStyle w:val="Textonotapie"/>
        <w:jc w:val="both"/>
      </w:pPr>
      <w: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0570D01" w14:textId="3CCA99AE" w:rsidR="0097647F" w:rsidRDefault="0097647F" w:rsidP="0097647F">
      <w:pPr>
        <w:pStyle w:val="Textonotapie"/>
        <w:jc w:val="both"/>
      </w:pPr>
      <w:r>
        <w:t>La obligación de los sujetos obligados de proporcionar información no comprende el procesamiento de la misma, ni el presentarla conforme al interés del solicitante.</w:t>
      </w:r>
    </w:p>
    <w:p w14:paraId="33B5C66A"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767D68" w14:textId="77777777" w:rsidR="0097647F" w:rsidRDefault="0097647F" w:rsidP="0097647F">
      <w:pPr>
        <w:pStyle w:val="Textonotapie"/>
        <w:jc w:val="both"/>
      </w:pPr>
    </w:p>
  </w:footnote>
  <w:footnote w:id="6">
    <w:p w14:paraId="63A00ABF" w14:textId="09D70D66" w:rsidR="00234478" w:rsidRDefault="00234478" w:rsidP="00234478">
      <w:pPr>
        <w:pStyle w:val="Textonotapie"/>
        <w:jc w:val="both"/>
      </w:pPr>
      <w:r>
        <w:rPr>
          <w:rStyle w:val="Refdenotaalpie"/>
        </w:rPr>
        <w:footnoteRef/>
      </w:r>
      <w: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0DC93082" w14:textId="77777777" w:rsidR="00234478" w:rsidRDefault="00234478" w:rsidP="00234478">
      <w:pPr>
        <w:pStyle w:val="Textonotapie"/>
        <w:jc w:val="both"/>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1E24AE8E"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1D9449" w14:textId="6F0D1308" w:rsidR="00234478" w:rsidRDefault="00234478">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FF519FE" w:rsidR="00A66405" w:rsidRDefault="00A66405" w:rsidP="007E5F3A">
        <w:pPr>
          <w:pStyle w:val="Encabezado"/>
          <w:jc w:val="center"/>
        </w:pPr>
        <w:r>
          <w:fldChar w:fldCharType="begin"/>
        </w:r>
        <w:r>
          <w:instrText>PAGE   \* MERGEFORMAT</w:instrText>
        </w:r>
        <w:r>
          <w:fldChar w:fldCharType="separate"/>
        </w:r>
        <w:r w:rsidR="008D4D5C" w:rsidRPr="008D4D5C">
          <w:rPr>
            <w:noProof/>
            <w:lang w:val="es-ES"/>
          </w:rPr>
          <w:t>15</w:t>
        </w:r>
        <w:r>
          <w:fldChar w:fldCharType="end"/>
        </w:r>
        <w:r>
          <w:t xml:space="preserve">                                  </w:t>
        </w:r>
      </w:p>
      <w:p w14:paraId="1F581E29" w14:textId="1390818A" w:rsidR="00A66405" w:rsidRDefault="00A66405" w:rsidP="007E5F3A">
        <w:pPr>
          <w:pStyle w:val="Encabezado"/>
          <w:jc w:val="right"/>
        </w:pPr>
        <w:r>
          <w:t xml:space="preserve">RECURSO DE REVISIÓN </w:t>
        </w:r>
        <w:r w:rsidR="00CC0A13">
          <w:t>148</w:t>
        </w:r>
        <w:r w:rsidR="004D080B">
          <w:t>/</w:t>
        </w:r>
        <w:r w:rsidR="00CC0A13">
          <w:t>2019</w:t>
        </w:r>
        <w:r>
          <w:t>-1</w:t>
        </w:r>
        <w:r w:rsidR="00A53CEA">
          <w:t xml:space="preserve"> </w:t>
        </w:r>
        <w:r w:rsidR="00CC0A13">
          <w:t>PLATAFORMA</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B2B4A46"/>
    <w:multiLevelType w:val="hybridMultilevel"/>
    <w:tmpl w:val="86AE69D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6"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2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776D53E3"/>
    <w:multiLevelType w:val="hybridMultilevel"/>
    <w:tmpl w:val="EFC04E8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777B7B3F"/>
    <w:multiLevelType w:val="hybridMultilevel"/>
    <w:tmpl w:val="786C2366"/>
    <w:lvl w:ilvl="0" w:tplc="7F382DC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18"/>
  </w:num>
  <w:num w:numId="3">
    <w:abstractNumId w:val="5"/>
  </w:num>
  <w:num w:numId="4">
    <w:abstractNumId w:val="32"/>
  </w:num>
  <w:num w:numId="5">
    <w:abstractNumId w:val="24"/>
  </w:num>
  <w:num w:numId="6">
    <w:abstractNumId w:val="25"/>
  </w:num>
  <w:num w:numId="7">
    <w:abstractNumId w:val="6"/>
  </w:num>
  <w:num w:numId="8">
    <w:abstractNumId w:val="12"/>
  </w:num>
  <w:num w:numId="9">
    <w:abstractNumId w:val="16"/>
  </w:num>
  <w:num w:numId="10">
    <w:abstractNumId w:val="15"/>
  </w:num>
  <w:num w:numId="11">
    <w:abstractNumId w:val="28"/>
  </w:num>
  <w:num w:numId="12">
    <w:abstractNumId w:val="1"/>
  </w:num>
  <w:num w:numId="13">
    <w:abstractNumId w:val="22"/>
  </w:num>
  <w:num w:numId="14">
    <w:abstractNumId w:val="14"/>
  </w:num>
  <w:num w:numId="15">
    <w:abstractNumId w:val="20"/>
  </w:num>
  <w:num w:numId="16">
    <w:abstractNumId w:val="33"/>
  </w:num>
  <w:num w:numId="17">
    <w:abstractNumId w:val="10"/>
  </w:num>
  <w:num w:numId="18">
    <w:abstractNumId w:val="0"/>
  </w:num>
  <w:num w:numId="19">
    <w:abstractNumId w:val="21"/>
  </w:num>
  <w:num w:numId="20">
    <w:abstractNumId w:val="3"/>
  </w:num>
  <w:num w:numId="21">
    <w:abstractNumId w:val="9"/>
  </w:num>
  <w:num w:numId="22">
    <w:abstractNumId w:val="2"/>
  </w:num>
  <w:num w:numId="23">
    <w:abstractNumId w:val="27"/>
  </w:num>
  <w:num w:numId="24">
    <w:abstractNumId w:val="17"/>
  </w:num>
  <w:num w:numId="25">
    <w:abstractNumId w:val="19"/>
  </w:num>
  <w:num w:numId="26">
    <w:abstractNumId w:val="4"/>
  </w:num>
  <w:num w:numId="27">
    <w:abstractNumId w:val="13"/>
  </w:num>
  <w:num w:numId="28">
    <w:abstractNumId w:val="7"/>
  </w:num>
  <w:num w:numId="29">
    <w:abstractNumId w:val="8"/>
  </w:num>
  <w:num w:numId="30">
    <w:abstractNumId w:val="34"/>
  </w:num>
  <w:num w:numId="31">
    <w:abstractNumId w:val="29"/>
  </w:num>
  <w:num w:numId="32">
    <w:abstractNumId w:val="26"/>
  </w:num>
  <w:num w:numId="33">
    <w:abstractNumId w:val="31"/>
  </w:num>
  <w:num w:numId="34">
    <w:abstractNumId w:val="23"/>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5879"/>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4784"/>
    <w:rsid w:val="00055E69"/>
    <w:rsid w:val="000603D2"/>
    <w:rsid w:val="00061DDD"/>
    <w:rsid w:val="00061F3E"/>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4606"/>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3E9D"/>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6ED0"/>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4243"/>
    <w:rsid w:val="001B46C0"/>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E0E77"/>
    <w:rsid w:val="001E17C7"/>
    <w:rsid w:val="001E27F5"/>
    <w:rsid w:val="001E46F0"/>
    <w:rsid w:val="001E5BCA"/>
    <w:rsid w:val="001E5D8A"/>
    <w:rsid w:val="001E6629"/>
    <w:rsid w:val="001E79BD"/>
    <w:rsid w:val="001F5274"/>
    <w:rsid w:val="001F5A51"/>
    <w:rsid w:val="001F5ADD"/>
    <w:rsid w:val="001F6FCA"/>
    <w:rsid w:val="001F73CD"/>
    <w:rsid w:val="002004E9"/>
    <w:rsid w:val="00200609"/>
    <w:rsid w:val="002008A2"/>
    <w:rsid w:val="00201843"/>
    <w:rsid w:val="00202ECC"/>
    <w:rsid w:val="00202F53"/>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3C34"/>
    <w:rsid w:val="00223F4A"/>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4B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5876"/>
    <w:rsid w:val="002860E5"/>
    <w:rsid w:val="0028655D"/>
    <w:rsid w:val="00286C5C"/>
    <w:rsid w:val="00286D54"/>
    <w:rsid w:val="002876C0"/>
    <w:rsid w:val="002902CE"/>
    <w:rsid w:val="00291AC6"/>
    <w:rsid w:val="00292188"/>
    <w:rsid w:val="0029256C"/>
    <w:rsid w:val="0029260E"/>
    <w:rsid w:val="002928BA"/>
    <w:rsid w:val="00295FE1"/>
    <w:rsid w:val="00295FFD"/>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4373"/>
    <w:rsid w:val="002D5B3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5AD"/>
    <w:rsid w:val="00303BDF"/>
    <w:rsid w:val="003050EA"/>
    <w:rsid w:val="00305125"/>
    <w:rsid w:val="003054C7"/>
    <w:rsid w:val="00310B53"/>
    <w:rsid w:val="003128D9"/>
    <w:rsid w:val="003144E4"/>
    <w:rsid w:val="00315930"/>
    <w:rsid w:val="003177E1"/>
    <w:rsid w:val="00317D10"/>
    <w:rsid w:val="00317F94"/>
    <w:rsid w:val="00321700"/>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10D"/>
    <w:rsid w:val="0035655B"/>
    <w:rsid w:val="00360687"/>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0E0"/>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4824"/>
    <w:rsid w:val="003E5DEE"/>
    <w:rsid w:val="003E5FD1"/>
    <w:rsid w:val="003E76B0"/>
    <w:rsid w:val="003F00CD"/>
    <w:rsid w:val="003F0FED"/>
    <w:rsid w:val="003F119C"/>
    <w:rsid w:val="003F155E"/>
    <w:rsid w:val="003F1C43"/>
    <w:rsid w:val="003F213F"/>
    <w:rsid w:val="003F35E3"/>
    <w:rsid w:val="003F39C1"/>
    <w:rsid w:val="003F4095"/>
    <w:rsid w:val="003F4CB9"/>
    <w:rsid w:val="003F4DBF"/>
    <w:rsid w:val="003F504F"/>
    <w:rsid w:val="00401F70"/>
    <w:rsid w:val="004021F3"/>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11BC"/>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3D7A"/>
    <w:rsid w:val="00513FEA"/>
    <w:rsid w:val="00515CFC"/>
    <w:rsid w:val="00515D9F"/>
    <w:rsid w:val="00517C80"/>
    <w:rsid w:val="0052120D"/>
    <w:rsid w:val="00521692"/>
    <w:rsid w:val="00523917"/>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2E3"/>
    <w:rsid w:val="005519B5"/>
    <w:rsid w:val="005526C0"/>
    <w:rsid w:val="005545C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7534"/>
    <w:rsid w:val="00581442"/>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B1A42"/>
    <w:rsid w:val="005B1D20"/>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1708"/>
    <w:rsid w:val="00602198"/>
    <w:rsid w:val="006033B5"/>
    <w:rsid w:val="006047F1"/>
    <w:rsid w:val="00606219"/>
    <w:rsid w:val="006073DF"/>
    <w:rsid w:val="006101C7"/>
    <w:rsid w:val="006118AE"/>
    <w:rsid w:val="006118B1"/>
    <w:rsid w:val="00612209"/>
    <w:rsid w:val="0061430A"/>
    <w:rsid w:val="0061495B"/>
    <w:rsid w:val="00616F4B"/>
    <w:rsid w:val="00620CA5"/>
    <w:rsid w:val="00621433"/>
    <w:rsid w:val="0062168C"/>
    <w:rsid w:val="00622D9B"/>
    <w:rsid w:val="0062536E"/>
    <w:rsid w:val="00630546"/>
    <w:rsid w:val="00631629"/>
    <w:rsid w:val="006334B5"/>
    <w:rsid w:val="00634179"/>
    <w:rsid w:val="00636A24"/>
    <w:rsid w:val="00636A6A"/>
    <w:rsid w:val="00637AC5"/>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E2C"/>
    <w:rsid w:val="00687830"/>
    <w:rsid w:val="006906F6"/>
    <w:rsid w:val="006927F9"/>
    <w:rsid w:val="006941E3"/>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354"/>
    <w:rsid w:val="00727965"/>
    <w:rsid w:val="00730140"/>
    <w:rsid w:val="0073139A"/>
    <w:rsid w:val="0073157A"/>
    <w:rsid w:val="00731B85"/>
    <w:rsid w:val="007326CA"/>
    <w:rsid w:val="0073360E"/>
    <w:rsid w:val="00735D8C"/>
    <w:rsid w:val="00735EB7"/>
    <w:rsid w:val="007414F4"/>
    <w:rsid w:val="00741579"/>
    <w:rsid w:val="00743C66"/>
    <w:rsid w:val="00744552"/>
    <w:rsid w:val="0074538E"/>
    <w:rsid w:val="00745624"/>
    <w:rsid w:val="00745FFC"/>
    <w:rsid w:val="00750B67"/>
    <w:rsid w:val="00751034"/>
    <w:rsid w:val="00751A40"/>
    <w:rsid w:val="00752729"/>
    <w:rsid w:val="00752E45"/>
    <w:rsid w:val="007533DB"/>
    <w:rsid w:val="0075350F"/>
    <w:rsid w:val="007538A3"/>
    <w:rsid w:val="007540DC"/>
    <w:rsid w:val="0075424D"/>
    <w:rsid w:val="00755031"/>
    <w:rsid w:val="00755C38"/>
    <w:rsid w:val="00760A62"/>
    <w:rsid w:val="00761371"/>
    <w:rsid w:val="007633E8"/>
    <w:rsid w:val="00763639"/>
    <w:rsid w:val="00764E45"/>
    <w:rsid w:val="00765DA2"/>
    <w:rsid w:val="0076602B"/>
    <w:rsid w:val="00766F46"/>
    <w:rsid w:val="00771282"/>
    <w:rsid w:val="00772DF6"/>
    <w:rsid w:val="00774B90"/>
    <w:rsid w:val="007753D8"/>
    <w:rsid w:val="00777A74"/>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0385"/>
    <w:rsid w:val="007A1424"/>
    <w:rsid w:val="007A1973"/>
    <w:rsid w:val="007A1B40"/>
    <w:rsid w:val="007A2B14"/>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51BA"/>
    <w:rsid w:val="008278EC"/>
    <w:rsid w:val="00827B1C"/>
    <w:rsid w:val="00827E5A"/>
    <w:rsid w:val="00827ED6"/>
    <w:rsid w:val="00831D47"/>
    <w:rsid w:val="0083211B"/>
    <w:rsid w:val="00832826"/>
    <w:rsid w:val="00832AAB"/>
    <w:rsid w:val="00833AE5"/>
    <w:rsid w:val="00840288"/>
    <w:rsid w:val="008403C2"/>
    <w:rsid w:val="0084065E"/>
    <w:rsid w:val="00841546"/>
    <w:rsid w:val="0084182C"/>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4D5C"/>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508"/>
    <w:rsid w:val="00922915"/>
    <w:rsid w:val="00922BEC"/>
    <w:rsid w:val="00923428"/>
    <w:rsid w:val="0092495A"/>
    <w:rsid w:val="00925220"/>
    <w:rsid w:val="0092679D"/>
    <w:rsid w:val="00926CE2"/>
    <w:rsid w:val="00927BD8"/>
    <w:rsid w:val="009313A4"/>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968"/>
    <w:rsid w:val="00951A5A"/>
    <w:rsid w:val="00951B38"/>
    <w:rsid w:val="0095205B"/>
    <w:rsid w:val="00953D0B"/>
    <w:rsid w:val="00954000"/>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782A"/>
    <w:rsid w:val="00980382"/>
    <w:rsid w:val="0098231B"/>
    <w:rsid w:val="00982C87"/>
    <w:rsid w:val="00983202"/>
    <w:rsid w:val="009839A2"/>
    <w:rsid w:val="00983FC2"/>
    <w:rsid w:val="0098526E"/>
    <w:rsid w:val="00985BDF"/>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156"/>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C0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2E17"/>
    <w:rsid w:val="00A4457B"/>
    <w:rsid w:val="00A44CD7"/>
    <w:rsid w:val="00A457E5"/>
    <w:rsid w:val="00A47E09"/>
    <w:rsid w:val="00A47F17"/>
    <w:rsid w:val="00A53953"/>
    <w:rsid w:val="00A53CEA"/>
    <w:rsid w:val="00A53D13"/>
    <w:rsid w:val="00A53E5A"/>
    <w:rsid w:val="00A53FBD"/>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2B12"/>
    <w:rsid w:val="00AA305C"/>
    <w:rsid w:val="00AA5CCF"/>
    <w:rsid w:val="00AA7625"/>
    <w:rsid w:val="00AA7BDA"/>
    <w:rsid w:val="00AB021D"/>
    <w:rsid w:val="00AB2B1C"/>
    <w:rsid w:val="00AB30D8"/>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3285"/>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5674"/>
    <w:rsid w:val="00B76213"/>
    <w:rsid w:val="00B76898"/>
    <w:rsid w:val="00B7698F"/>
    <w:rsid w:val="00B76DA1"/>
    <w:rsid w:val="00B77677"/>
    <w:rsid w:val="00B77B7B"/>
    <w:rsid w:val="00B80478"/>
    <w:rsid w:val="00B80546"/>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69B8"/>
    <w:rsid w:val="00BB76F5"/>
    <w:rsid w:val="00BC0F2B"/>
    <w:rsid w:val="00BC108C"/>
    <w:rsid w:val="00BC14E4"/>
    <w:rsid w:val="00BC2684"/>
    <w:rsid w:val="00BC2D2A"/>
    <w:rsid w:val="00BC38FD"/>
    <w:rsid w:val="00BC53C3"/>
    <w:rsid w:val="00BC56F2"/>
    <w:rsid w:val="00BC6AC9"/>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1C44"/>
    <w:rsid w:val="00C023EC"/>
    <w:rsid w:val="00C02FFD"/>
    <w:rsid w:val="00C03578"/>
    <w:rsid w:val="00C0459D"/>
    <w:rsid w:val="00C0476C"/>
    <w:rsid w:val="00C04E61"/>
    <w:rsid w:val="00C06903"/>
    <w:rsid w:val="00C069CE"/>
    <w:rsid w:val="00C0707B"/>
    <w:rsid w:val="00C0761B"/>
    <w:rsid w:val="00C1106E"/>
    <w:rsid w:val="00C12921"/>
    <w:rsid w:val="00C13418"/>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B3"/>
    <w:rsid w:val="00C52EAF"/>
    <w:rsid w:val="00C53225"/>
    <w:rsid w:val="00C533B8"/>
    <w:rsid w:val="00C53BBE"/>
    <w:rsid w:val="00C53EAD"/>
    <w:rsid w:val="00C550D6"/>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5D81"/>
    <w:rsid w:val="00C8633A"/>
    <w:rsid w:val="00C86DC0"/>
    <w:rsid w:val="00C87388"/>
    <w:rsid w:val="00C90BF6"/>
    <w:rsid w:val="00C92FD4"/>
    <w:rsid w:val="00C93A9F"/>
    <w:rsid w:val="00C95386"/>
    <w:rsid w:val="00C95DCE"/>
    <w:rsid w:val="00C95E93"/>
    <w:rsid w:val="00CA0D0B"/>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A13"/>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176E"/>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F67"/>
    <w:rsid w:val="00D413D6"/>
    <w:rsid w:val="00D4233F"/>
    <w:rsid w:val="00D429EB"/>
    <w:rsid w:val="00D42AE6"/>
    <w:rsid w:val="00D4467E"/>
    <w:rsid w:val="00D4607E"/>
    <w:rsid w:val="00D47030"/>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1E23"/>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03B0"/>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5338"/>
    <w:rsid w:val="00E55371"/>
    <w:rsid w:val="00E5567F"/>
    <w:rsid w:val="00E5583B"/>
    <w:rsid w:val="00E570A6"/>
    <w:rsid w:val="00E60A11"/>
    <w:rsid w:val="00E60E11"/>
    <w:rsid w:val="00E612A0"/>
    <w:rsid w:val="00E619F4"/>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02"/>
    <w:rsid w:val="00EC373E"/>
    <w:rsid w:val="00EC45B0"/>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7337"/>
    <w:rsid w:val="00F0768E"/>
    <w:rsid w:val="00F076A1"/>
    <w:rsid w:val="00F103A2"/>
    <w:rsid w:val="00F11104"/>
    <w:rsid w:val="00F115B0"/>
    <w:rsid w:val="00F134A8"/>
    <w:rsid w:val="00F139DF"/>
    <w:rsid w:val="00F147B9"/>
    <w:rsid w:val="00F14DCC"/>
    <w:rsid w:val="00F14EEC"/>
    <w:rsid w:val="00F15FE9"/>
    <w:rsid w:val="00F20A9D"/>
    <w:rsid w:val="00F20E32"/>
    <w:rsid w:val="00F21BC4"/>
    <w:rsid w:val="00F241AF"/>
    <w:rsid w:val="00F24A31"/>
    <w:rsid w:val="00F25F4E"/>
    <w:rsid w:val="00F27372"/>
    <w:rsid w:val="00F27575"/>
    <w:rsid w:val="00F30472"/>
    <w:rsid w:val="00F30F32"/>
    <w:rsid w:val="00F328BF"/>
    <w:rsid w:val="00F33E15"/>
    <w:rsid w:val="00F35358"/>
    <w:rsid w:val="00F35C21"/>
    <w:rsid w:val="00F36033"/>
    <w:rsid w:val="00F37A3D"/>
    <w:rsid w:val="00F4121A"/>
    <w:rsid w:val="00F42CB9"/>
    <w:rsid w:val="00F42F06"/>
    <w:rsid w:val="00F43CC6"/>
    <w:rsid w:val="00F45243"/>
    <w:rsid w:val="00F4586F"/>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984"/>
    <w:rsid w:val="00F73F5B"/>
    <w:rsid w:val="00F74290"/>
    <w:rsid w:val="00F752F0"/>
    <w:rsid w:val="00F75EB3"/>
    <w:rsid w:val="00F8066D"/>
    <w:rsid w:val="00F82B31"/>
    <w:rsid w:val="00F82C72"/>
    <w:rsid w:val="00F833E0"/>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238"/>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999189">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1523084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AA2D23-F69D-4E5B-A557-C7A2FF1F6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15</Pages>
  <Words>3189</Words>
  <Characters>17540</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Usuario CEGAIP</cp:lastModifiedBy>
  <cp:revision>9</cp:revision>
  <cp:lastPrinted>2019-01-24T18:02:00Z</cp:lastPrinted>
  <dcterms:created xsi:type="dcterms:W3CDTF">2019-05-27T19:57:00Z</dcterms:created>
  <dcterms:modified xsi:type="dcterms:W3CDTF">2019-06-03T17:52:00Z</dcterms:modified>
</cp:coreProperties>
</file>