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4FD4D4" w14:textId="77777777" w:rsidR="00D66346" w:rsidRDefault="00D66346" w:rsidP="00D66346">
      <w:pPr>
        <w:spacing w:line="276" w:lineRule="auto"/>
        <w:jc w:val="both"/>
        <w:rPr>
          <w:rFonts w:ascii="Arial" w:eastAsia="Arial" w:hAnsi="Arial" w:cs="Arial"/>
        </w:rPr>
      </w:pPr>
      <w:bookmarkStart w:id="0" w:name="_GoBack"/>
      <w:bookmarkEnd w:id="0"/>
      <w:r w:rsidRPr="00D66346">
        <w:rPr>
          <w:rFonts w:ascii="Arial" w:eastAsia="Arial" w:hAnsi="Arial" w:cs="Arial"/>
        </w:rPr>
        <w:t xml:space="preserve">Los </w:t>
      </w:r>
      <w:r>
        <w:rPr>
          <w:rFonts w:ascii="Arial" w:eastAsia="Arial" w:hAnsi="Arial" w:cs="Arial"/>
        </w:rPr>
        <w:t>O</w:t>
      </w:r>
      <w:r w:rsidRPr="00D66346">
        <w:rPr>
          <w:rFonts w:ascii="Arial" w:eastAsia="Arial" w:hAnsi="Arial" w:cs="Arial"/>
        </w:rPr>
        <w:t xml:space="preserve">rganismos </w:t>
      </w:r>
      <w:r>
        <w:rPr>
          <w:rFonts w:ascii="Arial" w:eastAsia="Arial" w:hAnsi="Arial" w:cs="Arial"/>
        </w:rPr>
        <w:t xml:space="preserve">Públicos Autónomos </w:t>
      </w:r>
      <w:r w:rsidRPr="00D66346">
        <w:rPr>
          <w:rFonts w:ascii="Arial" w:eastAsia="Arial" w:hAnsi="Arial" w:cs="Arial"/>
        </w:rPr>
        <w:t xml:space="preserve">de </w:t>
      </w:r>
      <w:r>
        <w:rPr>
          <w:rFonts w:ascii="Arial" w:eastAsia="Arial" w:hAnsi="Arial" w:cs="Arial"/>
        </w:rPr>
        <w:t>P</w:t>
      </w:r>
      <w:r w:rsidRPr="00D66346">
        <w:rPr>
          <w:rFonts w:ascii="Arial" w:eastAsia="Arial" w:hAnsi="Arial" w:cs="Arial"/>
        </w:rPr>
        <w:t xml:space="preserve">rotección a </w:t>
      </w:r>
      <w:r>
        <w:rPr>
          <w:rFonts w:ascii="Arial" w:eastAsia="Arial" w:hAnsi="Arial" w:cs="Arial"/>
        </w:rPr>
        <w:t>D</w:t>
      </w:r>
      <w:r w:rsidRPr="00D66346">
        <w:rPr>
          <w:rFonts w:ascii="Arial" w:eastAsia="Arial" w:hAnsi="Arial" w:cs="Arial"/>
        </w:rPr>
        <w:t xml:space="preserve">erechos </w:t>
      </w:r>
      <w:r>
        <w:rPr>
          <w:rFonts w:ascii="Arial" w:eastAsia="Arial" w:hAnsi="Arial" w:cs="Arial"/>
        </w:rPr>
        <w:t>H</w:t>
      </w:r>
      <w:r w:rsidRPr="00D66346">
        <w:rPr>
          <w:rFonts w:ascii="Arial" w:eastAsia="Arial" w:hAnsi="Arial" w:cs="Arial"/>
        </w:rPr>
        <w:t xml:space="preserve">umanos </w:t>
      </w:r>
      <w:r w:rsidR="00835565">
        <w:rPr>
          <w:rFonts w:ascii="Arial" w:eastAsia="Arial" w:hAnsi="Arial" w:cs="Arial"/>
        </w:rPr>
        <w:t>en México hemos definido una postura</w:t>
      </w:r>
      <w:r w:rsidRPr="00D66346">
        <w:rPr>
          <w:rFonts w:ascii="Arial" w:eastAsia="Arial" w:hAnsi="Arial" w:cs="Arial"/>
        </w:rPr>
        <w:t xml:space="preserve"> clara </w:t>
      </w:r>
      <w:r w:rsidR="00835565">
        <w:rPr>
          <w:rFonts w:ascii="Arial" w:eastAsia="Arial" w:hAnsi="Arial" w:cs="Arial"/>
        </w:rPr>
        <w:t xml:space="preserve">e inequívoca </w:t>
      </w:r>
      <w:r w:rsidRPr="00D66346">
        <w:rPr>
          <w:rFonts w:ascii="Arial" w:eastAsia="Arial" w:hAnsi="Arial" w:cs="Arial"/>
        </w:rPr>
        <w:t xml:space="preserve">sobre la </w:t>
      </w:r>
      <w:r w:rsidR="00560B31">
        <w:rPr>
          <w:rFonts w:ascii="Arial" w:eastAsia="Arial" w:hAnsi="Arial" w:cs="Arial"/>
        </w:rPr>
        <w:t xml:space="preserve">interrupción </w:t>
      </w:r>
      <w:r w:rsidR="002114AA">
        <w:rPr>
          <w:rFonts w:ascii="Arial" w:eastAsia="Arial" w:hAnsi="Arial" w:cs="Arial"/>
        </w:rPr>
        <w:t xml:space="preserve">legal </w:t>
      </w:r>
      <w:r w:rsidR="00560B31">
        <w:rPr>
          <w:rFonts w:ascii="Arial" w:eastAsia="Arial" w:hAnsi="Arial" w:cs="Arial"/>
        </w:rPr>
        <w:t xml:space="preserve">del embarazo </w:t>
      </w:r>
      <w:r w:rsidRPr="00D66346">
        <w:rPr>
          <w:rFonts w:ascii="Arial" w:eastAsia="Arial" w:hAnsi="Arial" w:cs="Arial"/>
        </w:rPr>
        <w:t>y San Luis Potosí, no es la excepción. El acceso a</w:t>
      </w:r>
      <w:r w:rsidR="00C51FD4">
        <w:rPr>
          <w:rFonts w:ascii="Arial" w:eastAsia="Arial" w:hAnsi="Arial" w:cs="Arial"/>
        </w:rPr>
        <w:t xml:space="preserve"> </w:t>
      </w:r>
      <w:r w:rsidRPr="00D66346">
        <w:rPr>
          <w:rFonts w:ascii="Arial" w:eastAsia="Arial" w:hAnsi="Arial" w:cs="Arial"/>
        </w:rPr>
        <w:t>l</w:t>
      </w:r>
      <w:r w:rsidR="00C51FD4">
        <w:rPr>
          <w:rFonts w:ascii="Arial" w:eastAsia="Arial" w:hAnsi="Arial" w:cs="Arial"/>
        </w:rPr>
        <w:t>a</w:t>
      </w:r>
      <w:r w:rsidRPr="00D66346">
        <w:rPr>
          <w:rFonts w:ascii="Arial" w:eastAsia="Arial" w:hAnsi="Arial" w:cs="Arial"/>
        </w:rPr>
        <w:t xml:space="preserve"> </w:t>
      </w:r>
      <w:r w:rsidR="00C51FD4">
        <w:rPr>
          <w:rFonts w:ascii="Arial" w:eastAsia="Arial" w:hAnsi="Arial" w:cs="Arial"/>
        </w:rPr>
        <w:t>interrupción legal del embarazo</w:t>
      </w:r>
      <w:r w:rsidRPr="00D66346">
        <w:rPr>
          <w:rFonts w:ascii="Arial" w:eastAsia="Arial" w:hAnsi="Arial" w:cs="Arial"/>
        </w:rPr>
        <w:t xml:space="preserve"> es un asunto de derechos humanos, pues de principio y fin se trata de proteger </w:t>
      </w:r>
      <w:r w:rsidR="00835565">
        <w:rPr>
          <w:rFonts w:ascii="Arial" w:eastAsia="Arial" w:hAnsi="Arial" w:cs="Arial"/>
        </w:rPr>
        <w:t>la vida de m</w:t>
      </w:r>
      <w:r w:rsidRPr="00D66346">
        <w:rPr>
          <w:rFonts w:ascii="Arial" w:eastAsia="Arial" w:hAnsi="Arial" w:cs="Arial"/>
        </w:rPr>
        <w:t xml:space="preserve">iles de mujeres y niñas </w:t>
      </w:r>
      <w:r w:rsidR="003E2C28">
        <w:rPr>
          <w:rFonts w:ascii="Arial" w:eastAsia="Arial" w:hAnsi="Arial" w:cs="Arial"/>
        </w:rPr>
        <w:t xml:space="preserve">cuya vida y salud están en peligro </w:t>
      </w:r>
      <w:r w:rsidRPr="00D66346">
        <w:rPr>
          <w:rFonts w:ascii="Arial" w:eastAsia="Arial" w:hAnsi="Arial" w:cs="Arial"/>
        </w:rPr>
        <w:t>por no tener acceso a un aborto seguro, donde su embarazo se deriva de situaciones diversas de violencia sistemática y no desde aspectos morales o religiosos.</w:t>
      </w:r>
    </w:p>
    <w:p w14:paraId="3EA49538" w14:textId="77777777" w:rsidR="00D66346" w:rsidRPr="00D66346" w:rsidRDefault="00D66346" w:rsidP="00D66346">
      <w:pPr>
        <w:spacing w:line="276" w:lineRule="auto"/>
        <w:jc w:val="both"/>
        <w:rPr>
          <w:rFonts w:ascii="Arial" w:eastAsia="Arial" w:hAnsi="Arial" w:cs="Arial"/>
        </w:rPr>
      </w:pPr>
    </w:p>
    <w:p w14:paraId="4AFD54C4" w14:textId="77777777" w:rsidR="00D66346" w:rsidRDefault="00FE14C3" w:rsidP="00D66346">
      <w:pPr>
        <w:spacing w:line="276" w:lineRule="auto"/>
        <w:jc w:val="both"/>
        <w:rPr>
          <w:rFonts w:ascii="Arial" w:eastAsia="Arial" w:hAnsi="Arial" w:cs="Arial"/>
        </w:rPr>
      </w:pPr>
      <w:r>
        <w:rPr>
          <w:rFonts w:ascii="Arial" w:eastAsia="Arial" w:hAnsi="Arial" w:cs="Arial"/>
        </w:rPr>
        <w:t xml:space="preserve">La interrupción legal del embarazo </w:t>
      </w:r>
      <w:r w:rsidR="00D66346" w:rsidRPr="00D66346">
        <w:rPr>
          <w:rFonts w:ascii="Arial" w:eastAsia="Arial" w:hAnsi="Arial" w:cs="Arial"/>
        </w:rPr>
        <w:t xml:space="preserve">debe considerarse un asunto de salud pública y de justicia social que involucra el respeto irrestricto de las mujeres a una vida libre de violencia, no obstante, </w:t>
      </w:r>
      <w:r w:rsidR="00835565">
        <w:rPr>
          <w:rFonts w:ascii="Arial" w:eastAsia="Arial" w:hAnsi="Arial" w:cs="Arial"/>
        </w:rPr>
        <w:t xml:space="preserve">consideramos que </w:t>
      </w:r>
      <w:r w:rsidR="00D66346" w:rsidRPr="00D66346">
        <w:rPr>
          <w:rFonts w:ascii="Arial" w:eastAsia="Arial" w:hAnsi="Arial" w:cs="Arial"/>
        </w:rPr>
        <w:t xml:space="preserve">toda </w:t>
      </w:r>
      <w:r w:rsidR="00835565">
        <w:rPr>
          <w:rFonts w:ascii="Arial" w:eastAsia="Arial" w:hAnsi="Arial" w:cs="Arial"/>
        </w:rPr>
        <w:t>manifestación o</w:t>
      </w:r>
      <w:r w:rsidR="00D66346" w:rsidRPr="00D66346">
        <w:rPr>
          <w:rFonts w:ascii="Arial" w:eastAsia="Arial" w:hAnsi="Arial" w:cs="Arial"/>
        </w:rPr>
        <w:t xml:space="preserve"> expresión</w:t>
      </w:r>
      <w:r w:rsidR="00835565">
        <w:rPr>
          <w:rFonts w:ascii="Arial" w:eastAsia="Arial" w:hAnsi="Arial" w:cs="Arial"/>
        </w:rPr>
        <w:t xml:space="preserve"> debe ser respetada</w:t>
      </w:r>
      <w:r w:rsidR="00D66346" w:rsidRPr="00D66346">
        <w:rPr>
          <w:rFonts w:ascii="Arial" w:eastAsia="Arial" w:hAnsi="Arial" w:cs="Arial"/>
        </w:rPr>
        <w:t xml:space="preserve">, </w:t>
      </w:r>
      <w:r w:rsidR="00835565">
        <w:rPr>
          <w:rFonts w:ascii="Arial" w:eastAsia="Arial" w:hAnsi="Arial" w:cs="Arial"/>
        </w:rPr>
        <w:t xml:space="preserve">en </w:t>
      </w:r>
      <w:r w:rsidR="00D66346" w:rsidRPr="00D66346">
        <w:rPr>
          <w:rFonts w:ascii="Arial" w:eastAsia="Arial" w:hAnsi="Arial" w:cs="Arial"/>
        </w:rPr>
        <w:t xml:space="preserve">particular </w:t>
      </w:r>
      <w:r w:rsidR="00835565">
        <w:rPr>
          <w:rFonts w:ascii="Arial" w:eastAsia="Arial" w:hAnsi="Arial" w:cs="Arial"/>
        </w:rPr>
        <w:t xml:space="preserve">respecto a </w:t>
      </w:r>
      <w:r w:rsidR="00D66346" w:rsidRPr="00D66346">
        <w:rPr>
          <w:rFonts w:ascii="Arial" w:eastAsia="Arial" w:hAnsi="Arial" w:cs="Arial"/>
        </w:rPr>
        <w:t xml:space="preserve">la pinta de las paredes de la Comisión Estatal de Derechos Humanos, </w:t>
      </w:r>
      <w:r w:rsidR="00835565">
        <w:rPr>
          <w:rFonts w:ascii="Arial" w:eastAsia="Arial" w:hAnsi="Arial" w:cs="Arial"/>
        </w:rPr>
        <w:t xml:space="preserve">creemos que se trata de </w:t>
      </w:r>
      <w:r w:rsidR="00D66346" w:rsidRPr="00D66346">
        <w:rPr>
          <w:rFonts w:ascii="Arial" w:eastAsia="Arial" w:hAnsi="Arial" w:cs="Arial"/>
        </w:rPr>
        <w:t xml:space="preserve">la opinión de algunas personas </w:t>
      </w:r>
      <w:r w:rsidR="00835565">
        <w:rPr>
          <w:rFonts w:ascii="Arial" w:eastAsia="Arial" w:hAnsi="Arial" w:cs="Arial"/>
        </w:rPr>
        <w:t xml:space="preserve">y grupos de la sociedad y la </w:t>
      </w:r>
      <w:r w:rsidR="00D66346" w:rsidRPr="00D66346">
        <w:rPr>
          <w:rFonts w:ascii="Arial" w:eastAsia="Arial" w:hAnsi="Arial" w:cs="Arial"/>
        </w:rPr>
        <w:t>respetamos</w:t>
      </w:r>
      <w:r w:rsidR="00C538F2">
        <w:rPr>
          <w:rFonts w:ascii="Arial" w:eastAsia="Arial" w:hAnsi="Arial" w:cs="Arial"/>
        </w:rPr>
        <w:t xml:space="preserve">. </w:t>
      </w:r>
      <w:r w:rsidR="00D66346" w:rsidRPr="00D66346">
        <w:rPr>
          <w:rFonts w:ascii="Arial" w:eastAsia="Arial" w:hAnsi="Arial" w:cs="Arial"/>
        </w:rPr>
        <w:t xml:space="preserve"> </w:t>
      </w:r>
    </w:p>
    <w:p w14:paraId="73A9D1B8" w14:textId="77777777" w:rsidR="00D66346" w:rsidRPr="00D66346" w:rsidRDefault="00D66346" w:rsidP="00D66346">
      <w:pPr>
        <w:spacing w:line="276" w:lineRule="auto"/>
        <w:jc w:val="both"/>
        <w:rPr>
          <w:rFonts w:ascii="Arial" w:eastAsia="Arial" w:hAnsi="Arial" w:cs="Arial"/>
        </w:rPr>
      </w:pPr>
    </w:p>
    <w:p w14:paraId="54DF7CF9" w14:textId="77777777" w:rsidR="00D66346" w:rsidRDefault="00D66346" w:rsidP="00D66346">
      <w:pPr>
        <w:spacing w:line="276" w:lineRule="auto"/>
        <w:jc w:val="both"/>
        <w:rPr>
          <w:rFonts w:ascii="Arial" w:eastAsia="Arial" w:hAnsi="Arial" w:cs="Arial"/>
        </w:rPr>
      </w:pPr>
      <w:r w:rsidRPr="00D66346">
        <w:rPr>
          <w:rFonts w:ascii="Arial" w:eastAsia="Arial" w:hAnsi="Arial" w:cs="Arial"/>
        </w:rPr>
        <w:t xml:space="preserve">Como personas defensoras de derechos humanos mantenemos una postura firme en la protección de los derechos de las mujeres y consideramos de </w:t>
      </w:r>
      <w:r w:rsidR="0038790C">
        <w:rPr>
          <w:rFonts w:ascii="Arial" w:eastAsia="Arial" w:hAnsi="Arial" w:cs="Arial"/>
        </w:rPr>
        <w:t xml:space="preserve">gran </w:t>
      </w:r>
      <w:r w:rsidR="003E2C28">
        <w:rPr>
          <w:rFonts w:ascii="Arial" w:eastAsia="Arial" w:hAnsi="Arial" w:cs="Arial"/>
        </w:rPr>
        <w:t xml:space="preserve">preocupación </w:t>
      </w:r>
      <w:r w:rsidRPr="00D66346">
        <w:rPr>
          <w:rFonts w:ascii="Arial" w:eastAsia="Arial" w:hAnsi="Arial" w:cs="Arial"/>
        </w:rPr>
        <w:t>que las mujeres y las niñas sigan perdiendo su vida o su libertad</w:t>
      </w:r>
      <w:r w:rsidR="0038790C">
        <w:rPr>
          <w:rFonts w:ascii="Arial" w:eastAsia="Arial" w:hAnsi="Arial" w:cs="Arial"/>
        </w:rPr>
        <w:t xml:space="preserve">. </w:t>
      </w:r>
      <w:r w:rsidRPr="00D66346">
        <w:rPr>
          <w:rFonts w:ascii="Arial" w:eastAsia="Arial" w:hAnsi="Arial" w:cs="Arial"/>
        </w:rPr>
        <w:t xml:space="preserve"> </w:t>
      </w:r>
    </w:p>
    <w:p w14:paraId="1CCA437C" w14:textId="77777777" w:rsidR="00D66346" w:rsidRPr="00D66346" w:rsidRDefault="00D66346" w:rsidP="00D66346">
      <w:pPr>
        <w:spacing w:line="276" w:lineRule="auto"/>
        <w:jc w:val="both"/>
        <w:rPr>
          <w:rFonts w:ascii="Arial" w:eastAsia="Arial" w:hAnsi="Arial" w:cs="Arial"/>
        </w:rPr>
      </w:pPr>
    </w:p>
    <w:p w14:paraId="168BBC86" w14:textId="77777777" w:rsidR="00D66346" w:rsidRDefault="00835565" w:rsidP="00D66346">
      <w:pPr>
        <w:spacing w:line="276" w:lineRule="auto"/>
        <w:jc w:val="both"/>
        <w:rPr>
          <w:rFonts w:ascii="Arial" w:eastAsia="Arial" w:hAnsi="Arial" w:cs="Arial"/>
        </w:rPr>
      </w:pPr>
      <w:r w:rsidRPr="00835565">
        <w:rPr>
          <w:rFonts w:ascii="Arial" w:eastAsia="Arial" w:hAnsi="Arial" w:cs="Arial"/>
        </w:rPr>
        <w:t>Los mecanismos internacionales de derechos humanos y los órganos protectores han calificado las leyes que penalizan la interrupción del embarazo como discriminatorias y como obstáculo para que las mujeres tengan acceso a la atención médica, que no debe tener obstáculo o condicionamiento alguno. Tales instancias han realizado recomendaciones a los Estados como en el caso de México para que eliminen todas las disposiciones punitivas hacia las mujeres que se han sometido a la interrupción de su embarazo. Estos organismos también han solicitado que los Estados permitan la interrupción legal del embarazo en ciertos casos. La jurisprudencia de los órganos creados en virtud de tratados ha indicado claramente que negar el acceso a la interrupción legal del embarazo a las mujeres cuando existe una amenaza a la vida o salud, o cuando el embarazo es el resultado de una violación o de incesto, viola los derechos a la salud, a la privacidad y, en ciertos casos, a ser libres de tratos crueles, inhumanos y degradantes</w:t>
      </w:r>
      <w:r w:rsidR="00D66346" w:rsidRPr="00D66346">
        <w:rPr>
          <w:rFonts w:ascii="Arial" w:eastAsia="Arial" w:hAnsi="Arial" w:cs="Arial"/>
        </w:rPr>
        <w:t>.</w:t>
      </w:r>
    </w:p>
    <w:p w14:paraId="09CC174E" w14:textId="77777777" w:rsidR="001B2B1D" w:rsidRPr="00D66346" w:rsidRDefault="001B2B1D" w:rsidP="00D66346">
      <w:pPr>
        <w:spacing w:line="276" w:lineRule="auto"/>
        <w:jc w:val="both"/>
        <w:rPr>
          <w:rFonts w:ascii="Arial" w:eastAsia="Arial" w:hAnsi="Arial" w:cs="Arial"/>
        </w:rPr>
      </w:pPr>
    </w:p>
    <w:p w14:paraId="75A6CEC5" w14:textId="77777777" w:rsidR="00D66346" w:rsidRDefault="00835565" w:rsidP="00D66346">
      <w:pPr>
        <w:spacing w:line="276" w:lineRule="auto"/>
        <w:jc w:val="both"/>
        <w:rPr>
          <w:rFonts w:ascii="Arial" w:eastAsia="Arial" w:hAnsi="Arial" w:cs="Arial"/>
        </w:rPr>
      </w:pPr>
      <w:r w:rsidRPr="00835565">
        <w:rPr>
          <w:rFonts w:ascii="Arial" w:eastAsia="Arial" w:hAnsi="Arial" w:cs="Arial"/>
        </w:rPr>
        <w:lastRenderedPageBreak/>
        <w:t>En ese sentido, concluimos que la interrupción del embarazo debe ser legal, segura y accesible y se trata de una postura apoyada por los compromisos asumidos por el Estado Mexicano. En los casos en que la interrupción del embarazo no es contraria a la ley, los sistemas de salud deben capacitar y equipar a quienes prestan servicios de salud y tomar otras medidas para asegurar que estas intervenciones se realicen en condiciones adecuadas y sean accesibles. Se deben tomar medidas adicionales para salvaguardar la salud de la mujer</w:t>
      </w:r>
      <w:r w:rsidR="00D66346" w:rsidRPr="00D66346">
        <w:rPr>
          <w:rFonts w:ascii="Arial" w:eastAsia="Arial" w:hAnsi="Arial" w:cs="Arial"/>
        </w:rPr>
        <w:t>.</w:t>
      </w:r>
    </w:p>
    <w:p w14:paraId="1B5747B1" w14:textId="77777777" w:rsidR="003E2C28" w:rsidRDefault="003E2C28" w:rsidP="00D66346">
      <w:pPr>
        <w:spacing w:line="276" w:lineRule="auto"/>
        <w:jc w:val="both"/>
        <w:rPr>
          <w:rFonts w:ascii="Arial" w:eastAsia="Arial" w:hAnsi="Arial" w:cs="Arial"/>
        </w:rPr>
      </w:pPr>
    </w:p>
    <w:p w14:paraId="7E6608F8" w14:textId="77777777" w:rsidR="003E2C28" w:rsidRDefault="003E2C28" w:rsidP="00D66346">
      <w:pPr>
        <w:spacing w:line="276" w:lineRule="auto"/>
        <w:jc w:val="both"/>
        <w:rPr>
          <w:rFonts w:ascii="Arial" w:eastAsia="Arial" w:hAnsi="Arial" w:cs="Arial"/>
        </w:rPr>
      </w:pPr>
      <w:r>
        <w:rPr>
          <w:rFonts w:ascii="Arial" w:eastAsia="Arial" w:hAnsi="Arial" w:cs="Arial"/>
        </w:rPr>
        <w:t xml:space="preserve">Finalmente, invitamos a todos los grupos de la sociedad que deseen manifestar sus ideas a que se acerquen a la CEDH y a este Consejo Ciudadano para entablar diálogos </w:t>
      </w:r>
      <w:r w:rsidR="001E7FB7">
        <w:rPr>
          <w:rFonts w:ascii="Arial" w:eastAsia="Arial" w:hAnsi="Arial" w:cs="Arial"/>
        </w:rPr>
        <w:t xml:space="preserve">constructivos en el marco del respeto a los derechos humanos. </w:t>
      </w:r>
    </w:p>
    <w:p w14:paraId="2B7310B9" w14:textId="77777777" w:rsidR="00E12E26" w:rsidRDefault="00E12E26">
      <w:pPr>
        <w:spacing w:line="276" w:lineRule="auto"/>
        <w:jc w:val="both"/>
        <w:rPr>
          <w:rFonts w:ascii="Arial" w:eastAsia="Arial" w:hAnsi="Arial" w:cs="Arial"/>
        </w:rPr>
      </w:pPr>
    </w:p>
    <w:p w14:paraId="78556225" w14:textId="77777777" w:rsidR="00E12E26" w:rsidRDefault="00C40F7A">
      <w:pPr>
        <w:pBdr>
          <w:top w:val="nil"/>
          <w:left w:val="nil"/>
          <w:bottom w:val="nil"/>
          <w:right w:val="nil"/>
          <w:between w:val="nil"/>
        </w:pBdr>
        <w:spacing w:after="160" w:line="276" w:lineRule="auto"/>
        <w:jc w:val="both"/>
        <w:rPr>
          <w:rFonts w:ascii="Arial" w:eastAsia="Arial" w:hAnsi="Arial" w:cs="Arial"/>
          <w:color w:val="000000"/>
        </w:rPr>
      </w:pPr>
      <w:r>
        <w:rPr>
          <w:rFonts w:ascii="Arial" w:eastAsia="Arial" w:hAnsi="Arial" w:cs="Arial"/>
          <w:color w:val="000000"/>
        </w:rPr>
        <w:t xml:space="preserve">Dado en el Estado de San Luis Potosí, el </w:t>
      </w:r>
      <w:r w:rsidR="001B2B1D">
        <w:rPr>
          <w:rFonts w:ascii="Arial" w:eastAsia="Arial" w:hAnsi="Arial" w:cs="Arial"/>
          <w:color w:val="000000"/>
        </w:rPr>
        <w:t xml:space="preserve">treinta </w:t>
      </w:r>
      <w:r>
        <w:rPr>
          <w:rFonts w:ascii="Arial" w:eastAsia="Arial" w:hAnsi="Arial" w:cs="Arial"/>
          <w:color w:val="000000"/>
        </w:rPr>
        <w:t>de mayo del dos mil diecinueve por el Consejo Ciudadano de la Comisión Estatal de Derechos Humanos de San Luis Potosí.</w:t>
      </w:r>
    </w:p>
    <w:p w14:paraId="7EA31694" w14:textId="77777777" w:rsidR="00E12E26" w:rsidRDefault="00C40F7A">
      <w:pPr>
        <w:pBdr>
          <w:top w:val="nil"/>
          <w:left w:val="nil"/>
          <w:bottom w:val="nil"/>
          <w:right w:val="nil"/>
          <w:between w:val="nil"/>
        </w:pBdr>
        <w:spacing w:after="160" w:line="276" w:lineRule="auto"/>
        <w:jc w:val="both"/>
        <w:rPr>
          <w:rFonts w:ascii="Arial" w:eastAsia="Arial" w:hAnsi="Arial" w:cs="Arial"/>
          <w:b/>
          <w:color w:val="000000"/>
        </w:rPr>
      </w:pPr>
      <w:r>
        <w:rPr>
          <w:rFonts w:ascii="Arial" w:eastAsia="Arial" w:hAnsi="Arial" w:cs="Arial"/>
          <w:b/>
          <w:color w:val="000000"/>
        </w:rPr>
        <w:t xml:space="preserve">Jorge Andrés López Espinosa. Graciela Martínez Morales. Juan Refugio Granados Naranjo. Jorge Arturo Valle Haro. Ma. Guadalupe Mendiola Acosta. </w:t>
      </w:r>
      <w:r w:rsidR="009D52E1">
        <w:rPr>
          <w:rFonts w:ascii="Arial" w:eastAsia="Arial" w:hAnsi="Arial" w:cs="Arial"/>
          <w:b/>
          <w:color w:val="000000"/>
        </w:rPr>
        <w:t xml:space="preserve">Giselle Meza Martell. </w:t>
      </w:r>
      <w:r>
        <w:rPr>
          <w:rFonts w:ascii="Arial" w:eastAsia="Arial" w:hAnsi="Arial" w:cs="Arial"/>
          <w:b/>
          <w:color w:val="000000"/>
        </w:rPr>
        <w:t xml:space="preserve">Karla </w:t>
      </w:r>
      <w:proofErr w:type="spellStart"/>
      <w:r>
        <w:rPr>
          <w:rFonts w:ascii="Arial" w:eastAsia="Arial" w:hAnsi="Arial" w:cs="Arial"/>
          <w:b/>
          <w:color w:val="000000"/>
        </w:rPr>
        <w:t>Beneranda</w:t>
      </w:r>
      <w:proofErr w:type="spellEnd"/>
      <w:r>
        <w:rPr>
          <w:rFonts w:ascii="Arial" w:eastAsia="Arial" w:hAnsi="Arial" w:cs="Arial"/>
          <w:b/>
          <w:color w:val="000000"/>
        </w:rPr>
        <w:t xml:space="preserve"> Martínez Contreras. Paloma Blanco López. Martín Beltrán Saucedo. Luis González Lozano.</w:t>
      </w:r>
    </w:p>
    <w:p w14:paraId="51A636C2" w14:textId="77777777" w:rsidR="00E12E26" w:rsidRDefault="00E12E26">
      <w:pPr>
        <w:pBdr>
          <w:top w:val="nil"/>
          <w:left w:val="nil"/>
          <w:bottom w:val="nil"/>
          <w:right w:val="nil"/>
          <w:between w:val="nil"/>
        </w:pBdr>
        <w:spacing w:after="160" w:line="276" w:lineRule="auto"/>
        <w:jc w:val="both"/>
        <w:rPr>
          <w:rFonts w:ascii="Arial" w:eastAsia="Arial" w:hAnsi="Arial" w:cs="Arial"/>
          <w:b/>
          <w:color w:val="000000"/>
        </w:rPr>
      </w:pPr>
    </w:p>
    <w:p w14:paraId="708F8837" w14:textId="77777777" w:rsidR="00E12E26" w:rsidRDefault="00E12E26">
      <w:pPr>
        <w:pBdr>
          <w:top w:val="nil"/>
          <w:left w:val="nil"/>
          <w:bottom w:val="nil"/>
          <w:right w:val="nil"/>
          <w:between w:val="nil"/>
        </w:pBdr>
        <w:spacing w:after="160" w:line="276" w:lineRule="auto"/>
        <w:jc w:val="both"/>
        <w:rPr>
          <w:rFonts w:ascii="Arial" w:eastAsia="Arial" w:hAnsi="Arial" w:cs="Arial"/>
          <w:b/>
          <w:color w:val="000000"/>
        </w:rPr>
      </w:pPr>
    </w:p>
    <w:sectPr w:rsidR="00E12E26">
      <w:headerReference w:type="default" r:id="rId6"/>
      <w:footerReference w:type="default" r:id="rId7"/>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DE7793" w14:textId="77777777" w:rsidR="00C36DD8" w:rsidRDefault="00C36DD8">
      <w:r>
        <w:separator/>
      </w:r>
    </w:p>
  </w:endnote>
  <w:endnote w:type="continuationSeparator" w:id="0">
    <w:p w14:paraId="3A4E92FD" w14:textId="77777777" w:rsidR="00C36DD8" w:rsidRDefault="00C36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Helvetica Neue">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DCD444" w14:textId="77777777" w:rsidR="00E12E26" w:rsidRDefault="00C40F7A">
    <w:pPr>
      <w:pBdr>
        <w:top w:val="nil"/>
        <w:left w:val="nil"/>
        <w:bottom w:val="nil"/>
        <w:right w:val="nil"/>
        <w:between w:val="nil"/>
      </w:pBdr>
      <w:tabs>
        <w:tab w:val="center" w:pos="4419"/>
        <w:tab w:val="right" w:pos="8838"/>
      </w:tabs>
      <w:jc w:val="right"/>
      <w:rPr>
        <w:color w:val="000000"/>
      </w:rPr>
    </w:pPr>
    <w:r>
      <w:rPr>
        <w:color w:val="000000"/>
      </w:rPr>
      <w:t xml:space="preserve">Página </w:t>
    </w:r>
    <w:r>
      <w:rPr>
        <w:color w:val="000000"/>
      </w:rPr>
      <w:fldChar w:fldCharType="begin"/>
    </w:r>
    <w:r>
      <w:rPr>
        <w:color w:val="000000"/>
      </w:rPr>
      <w:instrText>PAGE</w:instrText>
    </w:r>
    <w:r>
      <w:rPr>
        <w:color w:val="000000"/>
      </w:rPr>
      <w:fldChar w:fldCharType="separate"/>
    </w:r>
    <w:r w:rsidR="001E7FB7">
      <w:rPr>
        <w:noProof/>
        <w:color w:val="000000"/>
      </w:rPr>
      <w:t>1</w:t>
    </w:r>
    <w:r>
      <w:rPr>
        <w:color w:val="000000"/>
      </w:rPr>
      <w:fldChar w:fldCharType="end"/>
    </w:r>
    <w:r>
      <w:rPr>
        <w:color w:val="000000"/>
      </w:rPr>
      <w:t xml:space="preserve"> de </w:t>
    </w:r>
    <w:r>
      <w:rPr>
        <w:color w:val="000000"/>
      </w:rPr>
      <w:fldChar w:fldCharType="begin"/>
    </w:r>
    <w:r>
      <w:rPr>
        <w:color w:val="000000"/>
      </w:rPr>
      <w:instrText>NUMPAGES</w:instrText>
    </w:r>
    <w:r>
      <w:rPr>
        <w:color w:val="000000"/>
      </w:rPr>
      <w:fldChar w:fldCharType="separate"/>
    </w:r>
    <w:r w:rsidR="001E7FB7">
      <w:rPr>
        <w:noProof/>
        <w:color w:val="000000"/>
      </w:rPr>
      <w:t>2</w:t>
    </w:r>
    <w:r>
      <w:rPr>
        <w:color w:val="000000"/>
      </w:rPr>
      <w:fldChar w:fldCharType="end"/>
    </w:r>
  </w:p>
  <w:p w14:paraId="2BC81B5B" w14:textId="77777777" w:rsidR="00E12E26" w:rsidRDefault="00E12E26">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AF110B" w14:textId="77777777" w:rsidR="00C36DD8" w:rsidRDefault="00C36DD8">
      <w:r>
        <w:separator/>
      </w:r>
    </w:p>
  </w:footnote>
  <w:footnote w:type="continuationSeparator" w:id="0">
    <w:p w14:paraId="17B9437C" w14:textId="77777777" w:rsidR="00C36DD8" w:rsidRDefault="00C36D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01F87C" w14:textId="77777777" w:rsidR="00E12E26" w:rsidRDefault="00C40F7A">
    <w:pPr>
      <w:pBdr>
        <w:top w:val="nil"/>
        <w:left w:val="nil"/>
        <w:bottom w:val="nil"/>
        <w:right w:val="nil"/>
        <w:between w:val="nil"/>
      </w:pBdr>
      <w:shd w:val="clear" w:color="auto" w:fill="FFFFFF"/>
      <w:spacing w:line="480" w:lineRule="auto"/>
      <w:jc w:val="center"/>
      <w:rPr>
        <w:rFonts w:ascii="Arial" w:eastAsia="Arial" w:hAnsi="Arial" w:cs="Arial"/>
        <w:b/>
        <w:smallCaps/>
        <w:color w:val="000000"/>
        <w:sz w:val="28"/>
        <w:szCs w:val="28"/>
      </w:rPr>
    </w:pPr>
    <w:r>
      <w:rPr>
        <w:rFonts w:ascii="Arial" w:eastAsia="Arial" w:hAnsi="Arial" w:cs="Arial"/>
        <w:b/>
        <w:smallCaps/>
        <w:color w:val="000000"/>
        <w:sz w:val="28"/>
        <w:szCs w:val="28"/>
      </w:rPr>
      <w:t xml:space="preserve">                 Posicionamiento 0</w:t>
    </w:r>
    <w:r w:rsidR="00D66346">
      <w:rPr>
        <w:rFonts w:ascii="Arial" w:eastAsia="Arial" w:hAnsi="Arial" w:cs="Arial"/>
        <w:b/>
        <w:smallCaps/>
        <w:color w:val="000000"/>
        <w:sz w:val="28"/>
        <w:szCs w:val="28"/>
      </w:rPr>
      <w:t>4</w:t>
    </w:r>
    <w:r>
      <w:rPr>
        <w:rFonts w:ascii="Arial" w:eastAsia="Arial" w:hAnsi="Arial" w:cs="Arial"/>
        <w:b/>
        <w:smallCaps/>
        <w:color w:val="000000"/>
        <w:sz w:val="28"/>
        <w:szCs w:val="28"/>
      </w:rPr>
      <w:t>/2019</w:t>
    </w:r>
    <w:r>
      <w:rPr>
        <w:noProof/>
        <w:lang w:eastAsia="es-MX"/>
      </w:rPr>
      <w:drawing>
        <wp:anchor distT="0" distB="0" distL="114300" distR="114300" simplePos="0" relativeHeight="251658240" behindDoc="0" locked="0" layoutInCell="1" hidden="0" allowOverlap="1" wp14:anchorId="30FCAEFD" wp14:editId="68D1F746">
          <wp:simplePos x="0" y="0"/>
          <wp:positionH relativeFrom="column">
            <wp:posOffset>-375284</wp:posOffset>
          </wp:positionH>
          <wp:positionV relativeFrom="paragraph">
            <wp:posOffset>7620</wp:posOffset>
          </wp:positionV>
          <wp:extent cx="1228725" cy="1517837"/>
          <wp:effectExtent l="0" t="0" r="0" b="0"/>
          <wp:wrapNone/>
          <wp:docPr id="2" name="image1.png" descr="L:\12 Secretaría Tecnica\2018\Logo\CEDH color vertical.jpg"/>
          <wp:cNvGraphicFramePr/>
          <a:graphic xmlns:a="http://schemas.openxmlformats.org/drawingml/2006/main">
            <a:graphicData uri="http://schemas.openxmlformats.org/drawingml/2006/picture">
              <pic:pic xmlns:pic="http://schemas.openxmlformats.org/drawingml/2006/picture">
                <pic:nvPicPr>
                  <pic:cNvPr id="0" name="image1.png" descr="L:\12 Secretaría Tecnica\2018\Logo\CEDH color vertical.jpg"/>
                  <pic:cNvPicPr preferRelativeResize="0"/>
                </pic:nvPicPr>
                <pic:blipFill>
                  <a:blip r:embed="rId1"/>
                  <a:srcRect/>
                  <a:stretch>
                    <a:fillRect/>
                  </a:stretch>
                </pic:blipFill>
                <pic:spPr>
                  <a:xfrm>
                    <a:off x="0" y="0"/>
                    <a:ext cx="1228725" cy="1517837"/>
                  </a:xfrm>
                  <a:prstGeom prst="rect">
                    <a:avLst/>
                  </a:prstGeom>
                  <a:ln/>
                </pic:spPr>
              </pic:pic>
            </a:graphicData>
          </a:graphic>
        </wp:anchor>
      </w:drawing>
    </w:r>
  </w:p>
  <w:p w14:paraId="04A67821" w14:textId="77777777" w:rsidR="00E12E26" w:rsidRDefault="00C40F7A">
    <w:pPr>
      <w:pBdr>
        <w:top w:val="nil"/>
        <w:left w:val="nil"/>
        <w:bottom w:val="nil"/>
        <w:right w:val="nil"/>
        <w:between w:val="nil"/>
      </w:pBdr>
      <w:shd w:val="clear" w:color="auto" w:fill="FFFFFF"/>
      <w:spacing w:line="480" w:lineRule="auto"/>
      <w:jc w:val="center"/>
      <w:rPr>
        <w:rFonts w:ascii="Arial" w:eastAsia="Arial" w:hAnsi="Arial" w:cs="Arial"/>
        <w:b/>
        <w:smallCaps/>
        <w:color w:val="000000"/>
        <w:sz w:val="28"/>
        <w:szCs w:val="28"/>
        <w:u w:val="single"/>
      </w:rPr>
    </w:pPr>
    <w:r>
      <w:rPr>
        <w:rFonts w:ascii="Arial" w:eastAsia="Arial" w:hAnsi="Arial" w:cs="Arial"/>
        <w:b/>
        <w:smallCaps/>
        <w:color w:val="000000"/>
        <w:sz w:val="28"/>
        <w:szCs w:val="28"/>
      </w:rPr>
      <w:t xml:space="preserve">                    del </w:t>
    </w:r>
    <w:r>
      <w:rPr>
        <w:rFonts w:ascii="Arial" w:eastAsia="Arial" w:hAnsi="Arial" w:cs="Arial"/>
        <w:b/>
        <w:smallCaps/>
        <w:color w:val="000000"/>
        <w:sz w:val="28"/>
        <w:szCs w:val="28"/>
        <w:u w:val="single"/>
      </w:rPr>
      <w:t>CONSEJO</w:t>
    </w:r>
  </w:p>
  <w:p w14:paraId="015B3D9E" w14:textId="77777777" w:rsidR="00E12E26" w:rsidRDefault="00C40F7A">
    <w:pPr>
      <w:pBdr>
        <w:top w:val="nil"/>
        <w:left w:val="nil"/>
        <w:bottom w:val="nil"/>
        <w:right w:val="nil"/>
        <w:between w:val="nil"/>
      </w:pBdr>
      <w:shd w:val="clear" w:color="auto" w:fill="FFFFFF"/>
      <w:spacing w:line="480" w:lineRule="auto"/>
      <w:jc w:val="center"/>
      <w:rPr>
        <w:rFonts w:ascii="Arial" w:eastAsia="Arial" w:hAnsi="Arial" w:cs="Arial"/>
        <w:b/>
        <w:smallCaps/>
        <w:color w:val="000000"/>
        <w:sz w:val="28"/>
        <w:szCs w:val="28"/>
      </w:rPr>
    </w:pPr>
    <w:r>
      <w:rPr>
        <w:rFonts w:ascii="Arial" w:eastAsia="Arial" w:hAnsi="Arial" w:cs="Arial"/>
        <w:b/>
        <w:smallCaps/>
        <w:color w:val="000000"/>
        <w:sz w:val="28"/>
        <w:szCs w:val="28"/>
      </w:rPr>
      <w:t xml:space="preserve">                       de la </w:t>
    </w:r>
  </w:p>
  <w:p w14:paraId="24578FA5" w14:textId="77777777" w:rsidR="00E12E26" w:rsidRDefault="00C40F7A">
    <w:pPr>
      <w:pBdr>
        <w:top w:val="nil"/>
        <w:left w:val="nil"/>
        <w:bottom w:val="nil"/>
        <w:right w:val="nil"/>
        <w:between w:val="nil"/>
      </w:pBdr>
      <w:tabs>
        <w:tab w:val="right" w:pos="8818"/>
      </w:tabs>
      <w:jc w:val="center"/>
      <w:rPr>
        <w:rFonts w:ascii="Arial" w:eastAsia="Arial" w:hAnsi="Arial" w:cs="Arial"/>
        <w:b/>
        <w:smallCaps/>
        <w:color w:val="000000"/>
        <w:sz w:val="28"/>
        <w:szCs w:val="28"/>
      </w:rPr>
    </w:pPr>
    <w:r>
      <w:rPr>
        <w:rFonts w:ascii="Arial" w:eastAsia="Arial" w:hAnsi="Arial" w:cs="Arial"/>
        <w:b/>
        <w:smallCaps/>
        <w:color w:val="000000"/>
        <w:sz w:val="28"/>
        <w:szCs w:val="28"/>
      </w:rPr>
      <w:t xml:space="preserve">               Comisión Estatal de Derechos Humanos</w:t>
    </w:r>
  </w:p>
  <w:p w14:paraId="4E2E7E17" w14:textId="77777777" w:rsidR="00E12E26" w:rsidRDefault="00E12E26">
    <w:pPr>
      <w:pBdr>
        <w:top w:val="nil"/>
        <w:left w:val="nil"/>
        <w:bottom w:val="nil"/>
        <w:right w:val="nil"/>
        <w:between w:val="nil"/>
      </w:pBdr>
      <w:tabs>
        <w:tab w:val="right" w:pos="8818"/>
      </w:tabs>
      <w:jc w:val="center"/>
      <w:rPr>
        <w:rFonts w:ascii="Arial" w:eastAsia="Arial" w:hAnsi="Arial" w:cs="Arial"/>
        <w:b/>
        <w:smallCaps/>
        <w:color w:val="000000"/>
        <w:sz w:val="22"/>
        <w:szCs w:val="22"/>
      </w:rPr>
    </w:pPr>
  </w:p>
  <w:p w14:paraId="68A812D4" w14:textId="77777777" w:rsidR="00E12E26" w:rsidRDefault="00E12E26">
    <w:pPr>
      <w:pBdr>
        <w:top w:val="nil"/>
        <w:left w:val="nil"/>
        <w:bottom w:val="nil"/>
        <w:right w:val="nil"/>
        <w:between w:val="nil"/>
      </w:pBdr>
      <w:tabs>
        <w:tab w:val="right" w:pos="8818"/>
      </w:tabs>
      <w:jc w:val="center"/>
      <w:rPr>
        <w:rFonts w:ascii="Calibri" w:eastAsia="Calibri" w:hAnsi="Calibri" w:cs="Calibri"/>
        <w:color w:val="000000"/>
        <w:sz w:val="22"/>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2E26"/>
    <w:rsid w:val="000C52BE"/>
    <w:rsid w:val="00144980"/>
    <w:rsid w:val="001B2B1D"/>
    <w:rsid w:val="001C7571"/>
    <w:rsid w:val="001E7FB7"/>
    <w:rsid w:val="00201CB2"/>
    <w:rsid w:val="002114AA"/>
    <w:rsid w:val="00252DD5"/>
    <w:rsid w:val="00346236"/>
    <w:rsid w:val="0038790C"/>
    <w:rsid w:val="003A7DB1"/>
    <w:rsid w:val="003E2C28"/>
    <w:rsid w:val="005261E9"/>
    <w:rsid w:val="00560B31"/>
    <w:rsid w:val="006B1388"/>
    <w:rsid w:val="006C1300"/>
    <w:rsid w:val="0078426B"/>
    <w:rsid w:val="008139F6"/>
    <w:rsid w:val="00835565"/>
    <w:rsid w:val="00842561"/>
    <w:rsid w:val="00891B54"/>
    <w:rsid w:val="008B37F8"/>
    <w:rsid w:val="008D2ADA"/>
    <w:rsid w:val="008F153A"/>
    <w:rsid w:val="00960AC2"/>
    <w:rsid w:val="00966219"/>
    <w:rsid w:val="00991F03"/>
    <w:rsid w:val="009D52E1"/>
    <w:rsid w:val="00AC479C"/>
    <w:rsid w:val="00C36DD8"/>
    <w:rsid w:val="00C40F7A"/>
    <w:rsid w:val="00C4624C"/>
    <w:rsid w:val="00C51FD4"/>
    <w:rsid w:val="00C538F2"/>
    <w:rsid w:val="00C7222B"/>
    <w:rsid w:val="00CE6C80"/>
    <w:rsid w:val="00D35B83"/>
    <w:rsid w:val="00D66346"/>
    <w:rsid w:val="00DD435B"/>
    <w:rsid w:val="00E12E26"/>
    <w:rsid w:val="00E32DDB"/>
    <w:rsid w:val="00EC6670"/>
    <w:rsid w:val="00FA2B73"/>
    <w:rsid w:val="00FE14C3"/>
    <w:rsid w:val="00FF44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0BE3C"/>
  <w15:docId w15:val="{E16A5BC3-E86F-4E4B-A503-E09947B47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en-U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styleId="Hipervnculo">
    <w:name w:val="Hyperlink"/>
    <w:rPr>
      <w:u w:val="single"/>
    </w:rPr>
  </w:style>
  <w:style w:type="table" w:customStyle="1" w:styleId="TableNormal0">
    <w:name w:val="Table Normal"/>
    <w:tblPr>
      <w:tblInd w:w="0" w:type="dxa"/>
      <w:tblCellMar>
        <w:top w:w="0" w:type="dxa"/>
        <w:left w:w="0" w:type="dxa"/>
        <w:bottom w:w="0" w:type="dxa"/>
        <w:right w:w="0" w:type="dxa"/>
      </w:tblCellMar>
    </w:tblPr>
  </w:style>
  <w:style w:type="paragraph" w:customStyle="1" w:styleId="xmsonormal">
    <w:name w:val="x_msonormal"/>
    <w:pPr>
      <w:spacing w:before="100" w:after="100"/>
    </w:pPr>
    <w:rPr>
      <w:rFonts w:cs="Arial Unicode MS"/>
      <w:color w:val="000000"/>
      <w:u w:color="000000"/>
      <w:lang w:val="es-ES_tradnl"/>
    </w:rPr>
  </w:style>
  <w:style w:type="paragraph" w:styleId="Encabezado">
    <w:name w:val="header"/>
    <w:pPr>
      <w:tabs>
        <w:tab w:val="center" w:pos="4419"/>
        <w:tab w:val="right" w:pos="8838"/>
      </w:tabs>
    </w:pPr>
    <w:rPr>
      <w:rFonts w:ascii="Calibri" w:eastAsia="Calibri" w:hAnsi="Calibri" w:cs="Calibri"/>
      <w:color w:val="000000"/>
      <w:sz w:val="22"/>
      <w:szCs w:val="22"/>
      <w:u w:color="000000"/>
      <w:lang w:val="es-ES_tradnl"/>
    </w:rPr>
  </w:style>
  <w:style w:type="paragraph" w:customStyle="1" w:styleId="Cabeceraypie">
    <w:name w:val="Cabecera y pie"/>
    <w:pPr>
      <w:tabs>
        <w:tab w:val="right" w:pos="9020"/>
      </w:tabs>
    </w:pPr>
    <w:rPr>
      <w:rFonts w:ascii="Helvetica Neue" w:eastAsia="Helvetica Neue" w:hAnsi="Helvetica Neue" w:cs="Helvetica Neue"/>
      <w:color w:val="000000"/>
    </w:rPr>
  </w:style>
  <w:style w:type="paragraph" w:customStyle="1" w:styleId="Cuerpo">
    <w:name w:val="Cuerpo"/>
    <w:pPr>
      <w:spacing w:after="160" w:line="259" w:lineRule="auto"/>
    </w:pPr>
    <w:rPr>
      <w:rFonts w:ascii="Calibri" w:eastAsia="Calibri" w:hAnsi="Calibri" w:cs="Calibri"/>
      <w:color w:val="000000"/>
      <w:sz w:val="22"/>
      <w:szCs w:val="22"/>
      <w:u w:color="000000"/>
    </w:rPr>
  </w:style>
  <w:style w:type="paragraph" w:styleId="Piedepgina">
    <w:name w:val="footer"/>
    <w:basedOn w:val="Normal"/>
    <w:link w:val="PiedepginaCar"/>
    <w:uiPriority w:val="99"/>
    <w:unhideWhenUsed/>
    <w:rsid w:val="00C1545F"/>
    <w:pPr>
      <w:tabs>
        <w:tab w:val="center" w:pos="4419"/>
        <w:tab w:val="right" w:pos="8838"/>
      </w:tabs>
    </w:pPr>
  </w:style>
  <w:style w:type="character" w:customStyle="1" w:styleId="PiedepginaCar">
    <w:name w:val="Pie de página Car"/>
    <w:basedOn w:val="Fuentedeprrafopredeter"/>
    <w:link w:val="Piedepgina"/>
    <w:uiPriority w:val="99"/>
    <w:rsid w:val="00C1545F"/>
    <w:rPr>
      <w:sz w:val="24"/>
      <w:szCs w:val="24"/>
      <w:lang w:val="en-US" w:eastAsia="en-US"/>
    </w:rPr>
  </w:style>
  <w:style w:type="paragraph" w:styleId="Textonotapie">
    <w:name w:val="footnote text"/>
    <w:basedOn w:val="Normal"/>
    <w:link w:val="TextonotapieCar"/>
    <w:uiPriority w:val="99"/>
    <w:semiHidden/>
    <w:unhideWhenUsed/>
    <w:rsid w:val="00876444"/>
    <w:rPr>
      <w:sz w:val="20"/>
      <w:szCs w:val="20"/>
    </w:rPr>
  </w:style>
  <w:style w:type="character" w:customStyle="1" w:styleId="TextonotapieCar">
    <w:name w:val="Texto nota pie Car"/>
    <w:basedOn w:val="Fuentedeprrafopredeter"/>
    <w:link w:val="Textonotapie"/>
    <w:uiPriority w:val="99"/>
    <w:semiHidden/>
    <w:rsid w:val="00876444"/>
    <w:rPr>
      <w:lang w:val="en-US" w:eastAsia="en-US"/>
    </w:rPr>
  </w:style>
  <w:style w:type="character" w:styleId="Refdenotaalpie">
    <w:name w:val="footnote reference"/>
    <w:basedOn w:val="Fuentedeprrafopredeter"/>
    <w:uiPriority w:val="99"/>
    <w:unhideWhenUsed/>
    <w:rsid w:val="00876444"/>
    <w:rPr>
      <w:vertAlign w:val="superscript"/>
    </w:rPr>
  </w:style>
  <w:style w:type="paragraph" w:styleId="Textodeglobo">
    <w:name w:val="Balloon Text"/>
    <w:basedOn w:val="Normal"/>
    <w:link w:val="TextodegloboCar"/>
    <w:uiPriority w:val="99"/>
    <w:semiHidden/>
    <w:unhideWhenUsed/>
    <w:rsid w:val="0081258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12584"/>
    <w:rPr>
      <w:rFonts w:ascii="Segoe UI" w:hAnsi="Segoe UI" w:cs="Segoe UI"/>
      <w:sz w:val="18"/>
      <w:szCs w:val="18"/>
      <w:lang w:val="en-US" w:eastAsia="en-US"/>
    </w:rPr>
  </w:style>
  <w:style w:type="paragraph" w:styleId="Prrafodelista">
    <w:name w:val="List Paragraph"/>
    <w:basedOn w:val="Normal"/>
    <w:uiPriority w:val="34"/>
    <w:qFormat/>
    <w:rsid w:val="00146B4F"/>
    <w:pPr>
      <w:spacing w:after="200" w:line="276" w:lineRule="auto"/>
      <w:ind w:left="720"/>
      <w:contextualSpacing/>
    </w:pPr>
    <w:rPr>
      <w:rFonts w:asciiTheme="minorHAnsi" w:eastAsiaTheme="minorHAnsi" w:hAnsiTheme="minorHAnsi" w:cstheme="minorBidi"/>
      <w:sz w:val="22"/>
      <w:szCs w:val="2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533</Words>
  <Characters>2936</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SEC_TEC</dc:creator>
  <cp:lastModifiedBy>Lic. Ramón Ortiz Garcia</cp:lastModifiedBy>
  <cp:revision>7</cp:revision>
  <cp:lastPrinted>2019-05-30T21:48:00Z</cp:lastPrinted>
  <dcterms:created xsi:type="dcterms:W3CDTF">2019-05-30T21:44:00Z</dcterms:created>
  <dcterms:modified xsi:type="dcterms:W3CDTF">2019-05-30T21:48:00Z</dcterms:modified>
</cp:coreProperties>
</file>