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12E26" w:rsidRDefault="00C40F7A">
      <w:pPr>
        <w:spacing w:line="276" w:lineRule="auto"/>
        <w:jc w:val="both"/>
        <w:rPr>
          <w:rFonts w:ascii="Arial" w:eastAsia="Arial" w:hAnsi="Arial" w:cs="Arial"/>
        </w:rPr>
      </w:pPr>
      <w:bookmarkStart w:id="0" w:name="_GoBack"/>
      <w:bookmarkEnd w:id="0"/>
      <w:r>
        <w:rPr>
          <w:rFonts w:ascii="Arial" w:eastAsia="Arial" w:hAnsi="Arial" w:cs="Arial"/>
        </w:rPr>
        <w:t xml:space="preserve">Con motivo de la iniciativa de ley presentada por la </w:t>
      </w:r>
      <w:r w:rsidR="00991F03">
        <w:rPr>
          <w:rFonts w:ascii="Arial" w:eastAsia="Arial" w:hAnsi="Arial" w:cs="Arial"/>
        </w:rPr>
        <w:t>Presidenta de la Directiva del H. Congreso del Estado</w:t>
      </w:r>
      <w:r>
        <w:rPr>
          <w:rFonts w:ascii="Arial" w:eastAsia="Arial" w:hAnsi="Arial" w:cs="Arial"/>
        </w:rPr>
        <w:t xml:space="preserve"> a petición del Colectivo Voz y Dignidad por los Nuestros S.L.P.</w:t>
      </w:r>
      <w:r w:rsidR="00991F03">
        <w:rPr>
          <w:rFonts w:ascii="Arial" w:eastAsia="Arial" w:hAnsi="Arial" w:cs="Arial"/>
        </w:rPr>
        <w:t xml:space="preserve"> A.C.</w:t>
      </w:r>
      <w:r>
        <w:rPr>
          <w:rFonts w:ascii="Arial" w:eastAsia="Arial" w:hAnsi="Arial" w:cs="Arial"/>
        </w:rPr>
        <w:t xml:space="preserve">, con el objetivo de establecer la regulación del procedimiento estatal para la emisión de la Declaración Especial de Ausencia para Personas Desaparecidas y su trámite de aprobación al interior del </w:t>
      </w:r>
      <w:r w:rsidR="00991F03">
        <w:rPr>
          <w:rFonts w:ascii="Arial" w:eastAsia="Arial" w:hAnsi="Arial" w:cs="Arial"/>
        </w:rPr>
        <w:t>legislativo</w:t>
      </w:r>
      <w:r>
        <w:rPr>
          <w:rFonts w:ascii="Arial" w:eastAsia="Arial" w:hAnsi="Arial" w:cs="Arial"/>
        </w:rPr>
        <w:t>, este Consejo Ciudadano de la Comisión Estatal de Derechos Humanos emite el presente posicionamiento para respaldar la iniciativa y hacer un llamado a</w:t>
      </w:r>
      <w:r w:rsidR="00346236">
        <w:rPr>
          <w:rFonts w:ascii="Arial" w:eastAsia="Arial" w:hAnsi="Arial" w:cs="Arial"/>
        </w:rPr>
        <w:t xml:space="preserve">l Presidente de la Comisión legislativa de Derechos Humanos, Igualdad y Género </w:t>
      </w:r>
      <w:r>
        <w:rPr>
          <w:rFonts w:ascii="Arial" w:eastAsia="Arial" w:hAnsi="Arial" w:cs="Arial"/>
        </w:rPr>
        <w:t xml:space="preserve">para que, desde el ámbito de su competencia, coadyuve a la adopción de medidas de no </w:t>
      </w:r>
      <w:proofErr w:type="spellStart"/>
      <w:r>
        <w:rPr>
          <w:rFonts w:ascii="Arial" w:eastAsia="Arial" w:hAnsi="Arial" w:cs="Arial"/>
        </w:rPr>
        <w:t>revictimizacion</w:t>
      </w:r>
      <w:proofErr w:type="spellEnd"/>
      <w:r>
        <w:rPr>
          <w:rFonts w:ascii="Arial" w:eastAsia="Arial" w:hAnsi="Arial" w:cs="Arial"/>
        </w:rPr>
        <w:t xml:space="preserve"> a los familiares de las personas desaparecidas y se les otorgue la protección más amplia. </w:t>
      </w:r>
    </w:p>
    <w:p w:rsidR="00E12E26" w:rsidRDefault="00E12E26">
      <w:pPr>
        <w:spacing w:line="276" w:lineRule="auto"/>
        <w:jc w:val="both"/>
        <w:rPr>
          <w:rFonts w:ascii="Arial" w:eastAsia="Arial" w:hAnsi="Arial" w:cs="Arial"/>
        </w:rPr>
      </w:pPr>
    </w:p>
    <w:p w:rsidR="00E12E26" w:rsidRDefault="00C40F7A">
      <w:pPr>
        <w:spacing w:line="276" w:lineRule="auto"/>
        <w:jc w:val="both"/>
        <w:rPr>
          <w:rFonts w:ascii="Arial" w:eastAsia="Arial" w:hAnsi="Arial" w:cs="Arial"/>
        </w:rPr>
      </w:pPr>
      <w:r>
        <w:rPr>
          <w:rFonts w:ascii="Arial" w:eastAsia="Arial" w:hAnsi="Arial" w:cs="Arial"/>
        </w:rPr>
        <w:t xml:space="preserve">La Comisión Estatal de Derechos Humanos en San Luis Potosí, es un organismo autónomo que </w:t>
      </w:r>
      <w:r w:rsidR="00891B54">
        <w:rPr>
          <w:rFonts w:ascii="Arial" w:eastAsia="Arial" w:hAnsi="Arial" w:cs="Arial"/>
        </w:rPr>
        <w:t xml:space="preserve">tiene por objeto la </w:t>
      </w:r>
      <w:r w:rsidR="00891B54" w:rsidRPr="00891B54">
        <w:rPr>
          <w:rFonts w:ascii="Arial" w:eastAsia="Arial" w:hAnsi="Arial" w:cs="Arial"/>
        </w:rPr>
        <w:t>protección, defensa, observancia, promoción, estudio</w:t>
      </w:r>
      <w:r w:rsidR="00891B54">
        <w:rPr>
          <w:rFonts w:ascii="Arial" w:eastAsia="Arial" w:hAnsi="Arial" w:cs="Arial"/>
        </w:rPr>
        <w:t xml:space="preserve"> y </w:t>
      </w:r>
      <w:r w:rsidR="00891B54" w:rsidRPr="00891B54">
        <w:rPr>
          <w:rFonts w:ascii="Arial" w:eastAsia="Arial" w:hAnsi="Arial" w:cs="Arial"/>
        </w:rPr>
        <w:t>difusión</w:t>
      </w:r>
      <w:r>
        <w:rPr>
          <w:rFonts w:ascii="Arial" w:eastAsia="Arial" w:hAnsi="Arial" w:cs="Arial"/>
        </w:rPr>
        <w:t xml:space="preserve"> de los derechos humanos en la Entidad; observa a las personas que integran el servicio público no solo como parte de los entes obligados al irrestricto respeto de los derechos humanos en todos los órdenes, sino como aliados estratégicos para que su encomienda conduzca hacia la progresividad de todos los derechos en favor de todas las personas.</w:t>
      </w:r>
    </w:p>
    <w:p w:rsidR="00E12E26" w:rsidRDefault="00E12E26">
      <w:pPr>
        <w:spacing w:line="276" w:lineRule="auto"/>
        <w:jc w:val="both"/>
        <w:rPr>
          <w:rFonts w:ascii="Arial" w:eastAsia="Arial" w:hAnsi="Arial" w:cs="Arial"/>
        </w:rPr>
      </w:pPr>
    </w:p>
    <w:p w:rsidR="00E12E26" w:rsidRDefault="00C40F7A">
      <w:pPr>
        <w:spacing w:line="276" w:lineRule="auto"/>
        <w:jc w:val="both"/>
        <w:rPr>
          <w:rFonts w:ascii="Arial" w:eastAsia="Arial" w:hAnsi="Arial" w:cs="Arial"/>
        </w:rPr>
      </w:pPr>
      <w:r>
        <w:rPr>
          <w:rFonts w:ascii="Arial" w:eastAsia="Arial" w:hAnsi="Arial" w:cs="Arial"/>
        </w:rPr>
        <w:t xml:space="preserve">Por ello, consideramos que el Congreso del Estado es, sin duda, un aliado desde el ámbito legislativo que puede contribuir al reconocimiento y protección jurídica de los derechos de las personas desaparecidas y para otorgar medidas apropiadas que aseguren la protección más amplia a sus familiares. </w:t>
      </w:r>
    </w:p>
    <w:p w:rsidR="00E12E26" w:rsidRDefault="00E12E26">
      <w:pPr>
        <w:spacing w:line="276" w:lineRule="auto"/>
        <w:jc w:val="both"/>
        <w:rPr>
          <w:rFonts w:ascii="Arial" w:eastAsia="Arial" w:hAnsi="Arial" w:cs="Arial"/>
        </w:rPr>
      </w:pPr>
    </w:p>
    <w:p w:rsidR="00E12E26" w:rsidRDefault="00C40F7A">
      <w:pPr>
        <w:spacing w:line="276" w:lineRule="auto"/>
        <w:jc w:val="both"/>
        <w:rPr>
          <w:rFonts w:ascii="Arial" w:eastAsia="Arial" w:hAnsi="Arial" w:cs="Arial"/>
        </w:rPr>
      </w:pPr>
      <w:bookmarkStart w:id="1" w:name="_gjdgxs" w:colFirst="0" w:colLast="0"/>
      <w:bookmarkEnd w:id="1"/>
      <w:r>
        <w:rPr>
          <w:rFonts w:ascii="Arial" w:eastAsia="Arial" w:hAnsi="Arial" w:cs="Arial"/>
        </w:rPr>
        <w:t xml:space="preserve">Ante la noticia dada a conocer por la presidenta del colectivo Voz y Dignidad por los Nuestros SLP A.C., Edith Pérez Rodríguez, relativa a que </w:t>
      </w:r>
      <w:r w:rsidR="00EC6670">
        <w:rPr>
          <w:rFonts w:ascii="Arial" w:eastAsia="Arial" w:hAnsi="Arial" w:cs="Arial"/>
        </w:rPr>
        <w:t>las actuaciones d</w:t>
      </w:r>
      <w:r>
        <w:rPr>
          <w:rFonts w:ascii="Arial" w:eastAsia="Arial" w:hAnsi="Arial" w:cs="Arial"/>
        </w:rPr>
        <w:t xml:space="preserve">el Presidente de la Comisión Legislativa de Derechos Humanos, </w:t>
      </w:r>
      <w:r w:rsidR="00346236">
        <w:rPr>
          <w:rFonts w:ascii="Arial" w:eastAsia="Arial" w:hAnsi="Arial" w:cs="Arial"/>
        </w:rPr>
        <w:t xml:space="preserve">Igualdad </w:t>
      </w:r>
      <w:r>
        <w:rPr>
          <w:rFonts w:ascii="Arial" w:eastAsia="Arial" w:hAnsi="Arial" w:cs="Arial"/>
        </w:rPr>
        <w:t xml:space="preserve">y Género </w:t>
      </w:r>
      <w:r w:rsidR="00E32DDB">
        <w:rPr>
          <w:rFonts w:ascii="Arial" w:eastAsia="Arial" w:hAnsi="Arial" w:cs="Arial"/>
        </w:rPr>
        <w:t>no ha</w:t>
      </w:r>
      <w:r w:rsidR="00EC6670">
        <w:rPr>
          <w:rFonts w:ascii="Arial" w:eastAsia="Arial" w:hAnsi="Arial" w:cs="Arial"/>
        </w:rPr>
        <w:t>n</w:t>
      </w:r>
      <w:r w:rsidR="00E32DDB">
        <w:rPr>
          <w:rFonts w:ascii="Arial" w:eastAsia="Arial" w:hAnsi="Arial" w:cs="Arial"/>
        </w:rPr>
        <w:t xml:space="preserve"> favorecido el tránsito de la iniciativa</w:t>
      </w:r>
      <w:r>
        <w:rPr>
          <w:rFonts w:ascii="Arial" w:eastAsia="Arial" w:hAnsi="Arial" w:cs="Arial"/>
        </w:rPr>
        <w:t xml:space="preserve">, lamentamos </w:t>
      </w:r>
      <w:r w:rsidR="00E32DDB">
        <w:rPr>
          <w:rFonts w:ascii="Arial" w:eastAsia="Arial" w:hAnsi="Arial" w:cs="Arial"/>
        </w:rPr>
        <w:t xml:space="preserve">la falta de disposición </w:t>
      </w:r>
      <w:r>
        <w:rPr>
          <w:rFonts w:ascii="Arial" w:eastAsia="Arial" w:hAnsi="Arial" w:cs="Arial"/>
        </w:rPr>
        <w:t>del mencionado legislador local, más aún cuando en forma reiterada ha manifestado en divers</w:t>
      </w:r>
      <w:r w:rsidR="00C4624C">
        <w:rPr>
          <w:rFonts w:ascii="Arial" w:eastAsia="Arial" w:hAnsi="Arial" w:cs="Arial"/>
        </w:rPr>
        <w:t>a</w:t>
      </w:r>
      <w:r>
        <w:rPr>
          <w:rFonts w:ascii="Arial" w:eastAsia="Arial" w:hAnsi="Arial" w:cs="Arial"/>
        </w:rPr>
        <w:t xml:space="preserve">s </w:t>
      </w:r>
      <w:r w:rsidR="00C4624C">
        <w:rPr>
          <w:rFonts w:ascii="Arial" w:eastAsia="Arial" w:hAnsi="Arial" w:cs="Arial"/>
        </w:rPr>
        <w:t xml:space="preserve">ocasiones </w:t>
      </w:r>
      <w:r>
        <w:rPr>
          <w:rFonts w:ascii="Arial" w:eastAsia="Arial" w:hAnsi="Arial" w:cs="Arial"/>
        </w:rPr>
        <w:t xml:space="preserve">su compromiso con la protección a la diversidad de sectores en situación de vulnerabilidad, por lo que le hacemos un respetuoso llamado para que reconsidere su postura inicial. </w:t>
      </w:r>
    </w:p>
    <w:p w:rsidR="00E12E26" w:rsidRDefault="00E12E26">
      <w:pPr>
        <w:spacing w:line="276" w:lineRule="auto"/>
        <w:jc w:val="both"/>
        <w:rPr>
          <w:rFonts w:ascii="Arial" w:eastAsia="Arial" w:hAnsi="Arial" w:cs="Arial"/>
        </w:rPr>
      </w:pPr>
    </w:p>
    <w:p w:rsidR="00E12E26" w:rsidRDefault="00C40F7A">
      <w:pPr>
        <w:spacing w:line="276" w:lineRule="auto"/>
        <w:jc w:val="both"/>
        <w:rPr>
          <w:rFonts w:ascii="Arial" w:eastAsia="Arial" w:hAnsi="Arial" w:cs="Arial"/>
        </w:rPr>
      </w:pPr>
      <w:r>
        <w:rPr>
          <w:rFonts w:ascii="Arial" w:eastAsia="Arial" w:hAnsi="Arial" w:cs="Arial"/>
        </w:rPr>
        <w:lastRenderedPageBreak/>
        <w:t xml:space="preserve">Es necesario reconocer que un sector que ha sido víctima de violaciones sistemáticas a sus derechos humanos son los familiares de las personas desaparecidas, que hoy continúan en la búsqueda de verdad y justicia. En respuesta, se ha emprendido una política pública nacional para prevenir, investigar, sancionar y erradicar los delitos relacionados con el tema, otorgar la protección integral de los derechos de las personas desaparecidas hasta que se conozca su paradero y brindar atención y asistencia integral a sus familiares. </w:t>
      </w:r>
    </w:p>
    <w:p w:rsidR="00E12E26" w:rsidRDefault="00E12E26">
      <w:pPr>
        <w:spacing w:line="276" w:lineRule="auto"/>
        <w:jc w:val="both"/>
        <w:rPr>
          <w:rFonts w:ascii="Arial" w:eastAsia="Arial" w:hAnsi="Arial" w:cs="Arial"/>
        </w:rPr>
      </w:pPr>
    </w:p>
    <w:p w:rsidR="00E12E26" w:rsidRDefault="00C40F7A">
      <w:pPr>
        <w:spacing w:line="276" w:lineRule="auto"/>
        <w:jc w:val="both"/>
        <w:rPr>
          <w:rFonts w:ascii="Arial" w:eastAsia="Arial" w:hAnsi="Arial" w:cs="Arial"/>
        </w:rPr>
      </w:pPr>
      <w:r>
        <w:rPr>
          <w:rFonts w:ascii="Arial" w:eastAsia="Arial" w:hAnsi="Arial" w:cs="Arial"/>
        </w:rPr>
        <w:t xml:space="preserve">En el año 2017 se aprobó la </w:t>
      </w:r>
      <w:r>
        <w:rPr>
          <w:rFonts w:ascii="Arial" w:eastAsia="Arial" w:hAnsi="Arial" w:cs="Arial"/>
          <w:i/>
        </w:rPr>
        <w:t xml:space="preserve">Ley General en Materia de Desaparición Forzada de Personas, Desaparición cometida por particulares y del Sistema Nacional de Búsqueda de Personas, </w:t>
      </w:r>
      <w:r>
        <w:rPr>
          <w:rFonts w:ascii="Arial" w:eastAsia="Arial" w:hAnsi="Arial" w:cs="Arial"/>
        </w:rPr>
        <w:t xml:space="preserve">que indica una de las obligaciones de las entidades federativas referente el establecimiento de procedimientos para la obtención de la Declaración Especial de Ausencia, </w:t>
      </w:r>
      <w:r w:rsidR="009D52E1">
        <w:rPr>
          <w:rFonts w:ascii="Arial" w:eastAsia="Arial" w:hAnsi="Arial" w:cs="Arial"/>
        </w:rPr>
        <w:t xml:space="preserve">el cual </w:t>
      </w:r>
      <w:r>
        <w:rPr>
          <w:rFonts w:ascii="Arial" w:eastAsia="Arial" w:hAnsi="Arial" w:cs="Arial"/>
        </w:rPr>
        <w:t xml:space="preserve">se tendrá que otorgar bajo los principios de inmediatez, celeridad y gratuidad. Por ello, este Consejo Ciudadano de la CEDH SLP considera urgente que el Congreso del Estado de San Luis Potosí de cumplimiento a la armonización legislativa necesaria y contribuya a dar certeza jurídica a las víctimas.  </w:t>
      </w:r>
    </w:p>
    <w:p w:rsidR="00E12E26" w:rsidRDefault="00E12E26">
      <w:pPr>
        <w:spacing w:line="276" w:lineRule="auto"/>
        <w:jc w:val="both"/>
        <w:rPr>
          <w:rFonts w:ascii="Arial" w:eastAsia="Arial" w:hAnsi="Arial" w:cs="Arial"/>
        </w:rPr>
      </w:pPr>
    </w:p>
    <w:p w:rsidR="00E12E26" w:rsidRDefault="00C40F7A">
      <w:pPr>
        <w:spacing w:line="276" w:lineRule="auto"/>
        <w:jc w:val="both"/>
        <w:rPr>
          <w:rFonts w:ascii="Arial" w:eastAsia="Arial" w:hAnsi="Arial" w:cs="Arial"/>
        </w:rPr>
      </w:pPr>
      <w:r>
        <w:rPr>
          <w:rFonts w:ascii="Arial" w:eastAsia="Arial" w:hAnsi="Arial" w:cs="Arial"/>
        </w:rPr>
        <w:t>Finalmente, reiteramos nuestro respeto a cada uno de los 27 legisladores que integran esta LXII Legislatura, pues al final, la defensa de los derechos humanos la hacemos todos y todas desde los espacios que ocupemos, y precisamente este Consejo y la propia Legislatura tenemos la obligación total de brindar respuesta oportuna y pertinente a la ciudadanía potosina.</w:t>
      </w:r>
    </w:p>
    <w:p w:rsidR="00E12E26" w:rsidRDefault="00E12E26">
      <w:pPr>
        <w:spacing w:line="276" w:lineRule="auto"/>
        <w:jc w:val="both"/>
        <w:rPr>
          <w:rFonts w:ascii="Arial" w:eastAsia="Arial" w:hAnsi="Arial" w:cs="Arial"/>
        </w:rPr>
      </w:pPr>
    </w:p>
    <w:p w:rsidR="00E12E26" w:rsidRDefault="00C40F7A">
      <w:pPr>
        <w:pBdr>
          <w:top w:val="nil"/>
          <w:left w:val="nil"/>
          <w:bottom w:val="nil"/>
          <w:right w:val="nil"/>
          <w:between w:val="nil"/>
        </w:pBdr>
        <w:spacing w:after="160" w:line="276" w:lineRule="auto"/>
        <w:jc w:val="both"/>
        <w:rPr>
          <w:rFonts w:ascii="Arial" w:eastAsia="Arial" w:hAnsi="Arial" w:cs="Arial"/>
          <w:color w:val="000000"/>
        </w:rPr>
      </w:pPr>
      <w:r>
        <w:rPr>
          <w:rFonts w:ascii="Arial" w:eastAsia="Arial" w:hAnsi="Arial" w:cs="Arial"/>
          <w:color w:val="000000"/>
        </w:rPr>
        <w:t>Dado en el Estado de San Luis Potosí, el veintinueve de mayo del dos mil diecinueve por el Consejo Ciudadano de la Comisión Estatal de Derechos Humanos de San Luis Potosí.</w:t>
      </w:r>
    </w:p>
    <w:p w:rsidR="00E12E26" w:rsidRDefault="00C40F7A">
      <w:pPr>
        <w:pBdr>
          <w:top w:val="nil"/>
          <w:left w:val="nil"/>
          <w:bottom w:val="nil"/>
          <w:right w:val="nil"/>
          <w:between w:val="nil"/>
        </w:pBdr>
        <w:spacing w:after="160" w:line="276" w:lineRule="auto"/>
        <w:jc w:val="both"/>
        <w:rPr>
          <w:rFonts w:ascii="Arial" w:eastAsia="Arial" w:hAnsi="Arial" w:cs="Arial"/>
          <w:b/>
          <w:color w:val="000000"/>
        </w:rPr>
      </w:pPr>
      <w:r>
        <w:rPr>
          <w:rFonts w:ascii="Arial" w:eastAsia="Arial" w:hAnsi="Arial" w:cs="Arial"/>
          <w:b/>
          <w:color w:val="000000"/>
        </w:rPr>
        <w:t xml:space="preserve">Jorge Andrés López Espinosa. Graciela Martínez Morales. Juan Refugio Granados Naranjo. Jorge Arturo Valle Haro. Ma. Guadalupe Mendiola Acosta. </w:t>
      </w:r>
      <w:r w:rsidR="009D52E1">
        <w:rPr>
          <w:rFonts w:ascii="Arial" w:eastAsia="Arial" w:hAnsi="Arial" w:cs="Arial"/>
          <w:b/>
          <w:color w:val="000000"/>
        </w:rPr>
        <w:t xml:space="preserve">Giselle Meza Martell. </w:t>
      </w:r>
      <w:r>
        <w:rPr>
          <w:rFonts w:ascii="Arial" w:eastAsia="Arial" w:hAnsi="Arial" w:cs="Arial"/>
          <w:b/>
          <w:color w:val="000000"/>
        </w:rPr>
        <w:t xml:space="preserve">Karla </w:t>
      </w:r>
      <w:proofErr w:type="spellStart"/>
      <w:r>
        <w:rPr>
          <w:rFonts w:ascii="Arial" w:eastAsia="Arial" w:hAnsi="Arial" w:cs="Arial"/>
          <w:b/>
          <w:color w:val="000000"/>
        </w:rPr>
        <w:t>Beneranda</w:t>
      </w:r>
      <w:proofErr w:type="spellEnd"/>
      <w:r>
        <w:rPr>
          <w:rFonts w:ascii="Arial" w:eastAsia="Arial" w:hAnsi="Arial" w:cs="Arial"/>
          <w:b/>
          <w:color w:val="000000"/>
        </w:rPr>
        <w:t xml:space="preserve"> Martínez Contreras. Paloma Blanco López. Martín Beltrán Saucedo. Luis González Lozano.</w:t>
      </w:r>
    </w:p>
    <w:p w:rsidR="00E12E26" w:rsidRDefault="00E12E26">
      <w:pPr>
        <w:pBdr>
          <w:top w:val="nil"/>
          <w:left w:val="nil"/>
          <w:bottom w:val="nil"/>
          <w:right w:val="nil"/>
          <w:between w:val="nil"/>
        </w:pBdr>
        <w:spacing w:after="160" w:line="276" w:lineRule="auto"/>
        <w:jc w:val="both"/>
        <w:rPr>
          <w:rFonts w:ascii="Arial" w:eastAsia="Arial" w:hAnsi="Arial" w:cs="Arial"/>
          <w:b/>
          <w:color w:val="000000"/>
        </w:rPr>
      </w:pPr>
    </w:p>
    <w:p w:rsidR="00E12E26" w:rsidRDefault="00E12E26">
      <w:pPr>
        <w:pBdr>
          <w:top w:val="nil"/>
          <w:left w:val="nil"/>
          <w:bottom w:val="nil"/>
          <w:right w:val="nil"/>
          <w:between w:val="nil"/>
        </w:pBdr>
        <w:spacing w:after="160" w:line="276" w:lineRule="auto"/>
        <w:jc w:val="both"/>
        <w:rPr>
          <w:rFonts w:ascii="Arial" w:eastAsia="Arial" w:hAnsi="Arial" w:cs="Arial"/>
          <w:b/>
          <w:color w:val="000000"/>
        </w:rPr>
      </w:pPr>
    </w:p>
    <w:sectPr w:rsidR="00E12E26">
      <w:headerReference w:type="default" r:id="rId6"/>
      <w:footerReference w:type="default" r:id="rId7"/>
      <w:pgSz w:w="12240" w:h="15840"/>
      <w:pgMar w:top="1417" w:right="1701" w:bottom="1417"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B37F8" w:rsidRDefault="008B37F8">
      <w:r>
        <w:separator/>
      </w:r>
    </w:p>
  </w:endnote>
  <w:endnote w:type="continuationSeparator" w:id="0">
    <w:p w:rsidR="008B37F8" w:rsidRDefault="008B37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Helvetica Neue">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2E26" w:rsidRDefault="00C40F7A">
    <w:pPr>
      <w:pBdr>
        <w:top w:val="nil"/>
        <w:left w:val="nil"/>
        <w:bottom w:val="nil"/>
        <w:right w:val="nil"/>
        <w:between w:val="nil"/>
      </w:pBdr>
      <w:tabs>
        <w:tab w:val="center" w:pos="4419"/>
        <w:tab w:val="right" w:pos="8838"/>
      </w:tabs>
      <w:jc w:val="right"/>
      <w:rPr>
        <w:color w:val="000000"/>
      </w:rPr>
    </w:pPr>
    <w:r>
      <w:rPr>
        <w:color w:val="000000"/>
      </w:rPr>
      <w:t xml:space="preserve">Página </w:t>
    </w:r>
    <w:r>
      <w:rPr>
        <w:color w:val="000000"/>
      </w:rPr>
      <w:fldChar w:fldCharType="begin"/>
    </w:r>
    <w:r>
      <w:rPr>
        <w:color w:val="000000"/>
      </w:rPr>
      <w:instrText>PAGE</w:instrText>
    </w:r>
    <w:r>
      <w:rPr>
        <w:color w:val="000000"/>
      </w:rPr>
      <w:fldChar w:fldCharType="separate"/>
    </w:r>
    <w:r w:rsidR="00FF44E1">
      <w:rPr>
        <w:noProof/>
        <w:color w:val="000000"/>
      </w:rPr>
      <w:t>1</w:t>
    </w:r>
    <w:r>
      <w:rPr>
        <w:color w:val="000000"/>
      </w:rPr>
      <w:fldChar w:fldCharType="end"/>
    </w:r>
    <w:r>
      <w:rPr>
        <w:color w:val="000000"/>
      </w:rPr>
      <w:t xml:space="preserve"> de </w:t>
    </w:r>
    <w:r>
      <w:rPr>
        <w:color w:val="000000"/>
      </w:rPr>
      <w:fldChar w:fldCharType="begin"/>
    </w:r>
    <w:r>
      <w:rPr>
        <w:color w:val="000000"/>
      </w:rPr>
      <w:instrText>NUMPAGES</w:instrText>
    </w:r>
    <w:r>
      <w:rPr>
        <w:color w:val="000000"/>
      </w:rPr>
      <w:fldChar w:fldCharType="separate"/>
    </w:r>
    <w:r w:rsidR="00FF44E1">
      <w:rPr>
        <w:noProof/>
        <w:color w:val="000000"/>
      </w:rPr>
      <w:t>2</w:t>
    </w:r>
    <w:r>
      <w:rPr>
        <w:color w:val="000000"/>
      </w:rPr>
      <w:fldChar w:fldCharType="end"/>
    </w:r>
  </w:p>
  <w:p w:rsidR="00E12E26" w:rsidRDefault="00E12E26">
    <w:pPr>
      <w:pBdr>
        <w:top w:val="nil"/>
        <w:left w:val="nil"/>
        <w:bottom w:val="nil"/>
        <w:right w:val="nil"/>
        <w:between w:val="nil"/>
      </w:pBdr>
      <w:tabs>
        <w:tab w:val="center" w:pos="4419"/>
        <w:tab w:val="right" w:pos="8838"/>
      </w:tabs>
      <w:rPr>
        <w:color w:val="00000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B37F8" w:rsidRDefault="008B37F8">
      <w:r>
        <w:separator/>
      </w:r>
    </w:p>
  </w:footnote>
  <w:footnote w:type="continuationSeparator" w:id="0">
    <w:p w:rsidR="008B37F8" w:rsidRDefault="008B37F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2E26" w:rsidRDefault="00C40F7A">
    <w:pPr>
      <w:pBdr>
        <w:top w:val="nil"/>
        <w:left w:val="nil"/>
        <w:bottom w:val="nil"/>
        <w:right w:val="nil"/>
        <w:between w:val="nil"/>
      </w:pBdr>
      <w:shd w:val="clear" w:color="auto" w:fill="FFFFFF"/>
      <w:spacing w:line="480" w:lineRule="auto"/>
      <w:jc w:val="center"/>
      <w:rPr>
        <w:rFonts w:ascii="Arial" w:eastAsia="Arial" w:hAnsi="Arial" w:cs="Arial"/>
        <w:b/>
        <w:smallCaps/>
        <w:color w:val="000000"/>
        <w:sz w:val="28"/>
        <w:szCs w:val="28"/>
      </w:rPr>
    </w:pPr>
    <w:r>
      <w:rPr>
        <w:rFonts w:ascii="Arial" w:eastAsia="Arial" w:hAnsi="Arial" w:cs="Arial"/>
        <w:b/>
        <w:smallCaps/>
        <w:color w:val="000000"/>
        <w:sz w:val="28"/>
        <w:szCs w:val="28"/>
      </w:rPr>
      <w:t xml:space="preserve">                 Posicionamiento 03/2019</w:t>
    </w:r>
    <w:r>
      <w:rPr>
        <w:noProof/>
        <w:lang w:eastAsia="es-MX"/>
      </w:rPr>
      <w:drawing>
        <wp:anchor distT="0" distB="0" distL="114300" distR="114300" simplePos="0" relativeHeight="251658240" behindDoc="0" locked="0" layoutInCell="1" hidden="0" allowOverlap="1">
          <wp:simplePos x="0" y="0"/>
          <wp:positionH relativeFrom="column">
            <wp:posOffset>-375284</wp:posOffset>
          </wp:positionH>
          <wp:positionV relativeFrom="paragraph">
            <wp:posOffset>7620</wp:posOffset>
          </wp:positionV>
          <wp:extent cx="1228725" cy="1517837"/>
          <wp:effectExtent l="0" t="0" r="0" b="0"/>
          <wp:wrapNone/>
          <wp:docPr id="2" name="image1.png" descr="L:\12 Secretaría Tecnica\2018\Logo\CEDH color vertical.jpg"/>
          <wp:cNvGraphicFramePr/>
          <a:graphic xmlns:a="http://schemas.openxmlformats.org/drawingml/2006/main">
            <a:graphicData uri="http://schemas.openxmlformats.org/drawingml/2006/picture">
              <pic:pic xmlns:pic="http://schemas.openxmlformats.org/drawingml/2006/picture">
                <pic:nvPicPr>
                  <pic:cNvPr id="0" name="image1.png" descr="L:\12 Secretaría Tecnica\2018\Logo\CEDH color vertical.jpg"/>
                  <pic:cNvPicPr preferRelativeResize="0"/>
                </pic:nvPicPr>
                <pic:blipFill>
                  <a:blip r:embed="rId1"/>
                  <a:srcRect/>
                  <a:stretch>
                    <a:fillRect/>
                  </a:stretch>
                </pic:blipFill>
                <pic:spPr>
                  <a:xfrm>
                    <a:off x="0" y="0"/>
                    <a:ext cx="1228725" cy="1517837"/>
                  </a:xfrm>
                  <a:prstGeom prst="rect">
                    <a:avLst/>
                  </a:prstGeom>
                  <a:ln/>
                </pic:spPr>
              </pic:pic>
            </a:graphicData>
          </a:graphic>
        </wp:anchor>
      </w:drawing>
    </w:r>
  </w:p>
  <w:p w:rsidR="00E12E26" w:rsidRDefault="00C40F7A">
    <w:pPr>
      <w:pBdr>
        <w:top w:val="nil"/>
        <w:left w:val="nil"/>
        <w:bottom w:val="nil"/>
        <w:right w:val="nil"/>
        <w:between w:val="nil"/>
      </w:pBdr>
      <w:shd w:val="clear" w:color="auto" w:fill="FFFFFF"/>
      <w:spacing w:line="480" w:lineRule="auto"/>
      <w:jc w:val="center"/>
      <w:rPr>
        <w:rFonts w:ascii="Arial" w:eastAsia="Arial" w:hAnsi="Arial" w:cs="Arial"/>
        <w:b/>
        <w:smallCaps/>
        <w:color w:val="000000"/>
        <w:sz w:val="28"/>
        <w:szCs w:val="28"/>
        <w:u w:val="single"/>
      </w:rPr>
    </w:pPr>
    <w:r>
      <w:rPr>
        <w:rFonts w:ascii="Arial" w:eastAsia="Arial" w:hAnsi="Arial" w:cs="Arial"/>
        <w:b/>
        <w:smallCaps/>
        <w:color w:val="000000"/>
        <w:sz w:val="28"/>
        <w:szCs w:val="28"/>
      </w:rPr>
      <w:t xml:space="preserve">                    del </w:t>
    </w:r>
    <w:r>
      <w:rPr>
        <w:rFonts w:ascii="Arial" w:eastAsia="Arial" w:hAnsi="Arial" w:cs="Arial"/>
        <w:b/>
        <w:smallCaps/>
        <w:color w:val="000000"/>
        <w:sz w:val="28"/>
        <w:szCs w:val="28"/>
        <w:u w:val="single"/>
      </w:rPr>
      <w:t>CONSEJO</w:t>
    </w:r>
  </w:p>
  <w:p w:rsidR="00E12E26" w:rsidRDefault="00C40F7A">
    <w:pPr>
      <w:pBdr>
        <w:top w:val="nil"/>
        <w:left w:val="nil"/>
        <w:bottom w:val="nil"/>
        <w:right w:val="nil"/>
        <w:between w:val="nil"/>
      </w:pBdr>
      <w:shd w:val="clear" w:color="auto" w:fill="FFFFFF"/>
      <w:spacing w:line="480" w:lineRule="auto"/>
      <w:jc w:val="center"/>
      <w:rPr>
        <w:rFonts w:ascii="Arial" w:eastAsia="Arial" w:hAnsi="Arial" w:cs="Arial"/>
        <w:b/>
        <w:smallCaps/>
        <w:color w:val="000000"/>
        <w:sz w:val="28"/>
        <w:szCs w:val="28"/>
      </w:rPr>
    </w:pPr>
    <w:r>
      <w:rPr>
        <w:rFonts w:ascii="Arial" w:eastAsia="Arial" w:hAnsi="Arial" w:cs="Arial"/>
        <w:b/>
        <w:smallCaps/>
        <w:color w:val="000000"/>
        <w:sz w:val="28"/>
        <w:szCs w:val="28"/>
      </w:rPr>
      <w:t xml:space="preserve">                       de la </w:t>
    </w:r>
  </w:p>
  <w:p w:rsidR="00E12E26" w:rsidRDefault="00C40F7A">
    <w:pPr>
      <w:pBdr>
        <w:top w:val="nil"/>
        <w:left w:val="nil"/>
        <w:bottom w:val="nil"/>
        <w:right w:val="nil"/>
        <w:between w:val="nil"/>
      </w:pBdr>
      <w:tabs>
        <w:tab w:val="right" w:pos="8818"/>
      </w:tabs>
      <w:jc w:val="center"/>
      <w:rPr>
        <w:rFonts w:ascii="Arial" w:eastAsia="Arial" w:hAnsi="Arial" w:cs="Arial"/>
        <w:b/>
        <w:smallCaps/>
        <w:color w:val="000000"/>
        <w:sz w:val="28"/>
        <w:szCs w:val="28"/>
      </w:rPr>
    </w:pPr>
    <w:r>
      <w:rPr>
        <w:rFonts w:ascii="Arial" w:eastAsia="Arial" w:hAnsi="Arial" w:cs="Arial"/>
        <w:b/>
        <w:smallCaps/>
        <w:color w:val="000000"/>
        <w:sz w:val="28"/>
        <w:szCs w:val="28"/>
      </w:rPr>
      <w:t xml:space="preserve">               Comisión Estatal de Derechos Humanos</w:t>
    </w:r>
  </w:p>
  <w:p w:rsidR="00E12E26" w:rsidRDefault="00E12E26">
    <w:pPr>
      <w:pBdr>
        <w:top w:val="nil"/>
        <w:left w:val="nil"/>
        <w:bottom w:val="nil"/>
        <w:right w:val="nil"/>
        <w:between w:val="nil"/>
      </w:pBdr>
      <w:tabs>
        <w:tab w:val="right" w:pos="8818"/>
      </w:tabs>
      <w:jc w:val="center"/>
      <w:rPr>
        <w:rFonts w:ascii="Arial" w:eastAsia="Arial" w:hAnsi="Arial" w:cs="Arial"/>
        <w:b/>
        <w:smallCaps/>
        <w:color w:val="000000"/>
        <w:sz w:val="22"/>
        <w:szCs w:val="22"/>
      </w:rPr>
    </w:pPr>
  </w:p>
  <w:p w:rsidR="00E12E26" w:rsidRDefault="00E12E26">
    <w:pPr>
      <w:pBdr>
        <w:top w:val="nil"/>
        <w:left w:val="nil"/>
        <w:bottom w:val="nil"/>
        <w:right w:val="nil"/>
        <w:between w:val="nil"/>
      </w:pBdr>
      <w:tabs>
        <w:tab w:val="right" w:pos="8818"/>
      </w:tabs>
      <w:jc w:val="center"/>
      <w:rPr>
        <w:rFonts w:ascii="Calibri" w:eastAsia="Calibri" w:hAnsi="Calibri" w:cs="Calibri"/>
        <w:color w:val="000000"/>
        <w:sz w:val="22"/>
        <w:szCs w:val="2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2E26"/>
    <w:rsid w:val="000C52BE"/>
    <w:rsid w:val="00346236"/>
    <w:rsid w:val="003A7DB1"/>
    <w:rsid w:val="005261E9"/>
    <w:rsid w:val="006B1388"/>
    <w:rsid w:val="0078426B"/>
    <w:rsid w:val="00891B54"/>
    <w:rsid w:val="008B37F8"/>
    <w:rsid w:val="008D2ADA"/>
    <w:rsid w:val="00960AC2"/>
    <w:rsid w:val="00991F03"/>
    <w:rsid w:val="009D52E1"/>
    <w:rsid w:val="00AC479C"/>
    <w:rsid w:val="00C40F7A"/>
    <w:rsid w:val="00C4624C"/>
    <w:rsid w:val="00E12E26"/>
    <w:rsid w:val="00E32DDB"/>
    <w:rsid w:val="00EC6670"/>
    <w:rsid w:val="00FA2B73"/>
    <w:rsid w:val="00FF44E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16A5BC3-E86F-4E4B-A503-E09947B47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eastAsia="en-US"/>
    </w:rPr>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character" w:styleId="Hipervnculo">
    <w:name w:val="Hyperlink"/>
    <w:rPr>
      <w:u w:val="single"/>
    </w:rPr>
  </w:style>
  <w:style w:type="table" w:customStyle="1" w:styleId="TableNormal0">
    <w:name w:val="Table Normal"/>
    <w:tblPr>
      <w:tblInd w:w="0" w:type="dxa"/>
      <w:tblCellMar>
        <w:top w:w="0" w:type="dxa"/>
        <w:left w:w="0" w:type="dxa"/>
        <w:bottom w:w="0" w:type="dxa"/>
        <w:right w:w="0" w:type="dxa"/>
      </w:tblCellMar>
    </w:tblPr>
  </w:style>
  <w:style w:type="paragraph" w:customStyle="1" w:styleId="xmsonormal">
    <w:name w:val="x_msonormal"/>
    <w:pPr>
      <w:spacing w:before="100" w:after="100"/>
    </w:pPr>
    <w:rPr>
      <w:rFonts w:cs="Arial Unicode MS"/>
      <w:color w:val="000000"/>
      <w:u w:color="000000"/>
      <w:lang w:val="es-ES_tradnl"/>
    </w:rPr>
  </w:style>
  <w:style w:type="paragraph" w:styleId="Encabezado">
    <w:name w:val="header"/>
    <w:pPr>
      <w:tabs>
        <w:tab w:val="center" w:pos="4419"/>
        <w:tab w:val="right" w:pos="8838"/>
      </w:tabs>
    </w:pPr>
    <w:rPr>
      <w:rFonts w:ascii="Calibri" w:eastAsia="Calibri" w:hAnsi="Calibri" w:cs="Calibri"/>
      <w:color w:val="000000"/>
      <w:sz w:val="22"/>
      <w:szCs w:val="22"/>
      <w:u w:color="000000"/>
      <w:lang w:val="es-ES_tradnl"/>
    </w:rPr>
  </w:style>
  <w:style w:type="paragraph" w:customStyle="1" w:styleId="Cabeceraypie">
    <w:name w:val="Cabecera y pie"/>
    <w:pPr>
      <w:tabs>
        <w:tab w:val="right" w:pos="9020"/>
      </w:tabs>
    </w:pPr>
    <w:rPr>
      <w:rFonts w:ascii="Helvetica Neue" w:eastAsia="Helvetica Neue" w:hAnsi="Helvetica Neue" w:cs="Helvetica Neue"/>
      <w:color w:val="000000"/>
    </w:rPr>
  </w:style>
  <w:style w:type="paragraph" w:customStyle="1" w:styleId="Cuerpo">
    <w:name w:val="Cuerpo"/>
    <w:pPr>
      <w:spacing w:after="160" w:line="259" w:lineRule="auto"/>
    </w:pPr>
    <w:rPr>
      <w:rFonts w:ascii="Calibri" w:eastAsia="Calibri" w:hAnsi="Calibri" w:cs="Calibri"/>
      <w:color w:val="000000"/>
      <w:sz w:val="22"/>
      <w:szCs w:val="22"/>
      <w:u w:color="000000"/>
    </w:rPr>
  </w:style>
  <w:style w:type="paragraph" w:styleId="Piedepgina">
    <w:name w:val="footer"/>
    <w:basedOn w:val="Normal"/>
    <w:link w:val="PiedepginaCar"/>
    <w:uiPriority w:val="99"/>
    <w:unhideWhenUsed/>
    <w:rsid w:val="00C1545F"/>
    <w:pPr>
      <w:tabs>
        <w:tab w:val="center" w:pos="4419"/>
        <w:tab w:val="right" w:pos="8838"/>
      </w:tabs>
    </w:pPr>
  </w:style>
  <w:style w:type="character" w:customStyle="1" w:styleId="PiedepginaCar">
    <w:name w:val="Pie de página Car"/>
    <w:basedOn w:val="Fuentedeprrafopredeter"/>
    <w:link w:val="Piedepgina"/>
    <w:uiPriority w:val="99"/>
    <w:rsid w:val="00C1545F"/>
    <w:rPr>
      <w:sz w:val="24"/>
      <w:szCs w:val="24"/>
      <w:lang w:val="en-US" w:eastAsia="en-US"/>
    </w:rPr>
  </w:style>
  <w:style w:type="paragraph" w:styleId="Textonotapie">
    <w:name w:val="footnote text"/>
    <w:basedOn w:val="Normal"/>
    <w:link w:val="TextonotapieCar"/>
    <w:uiPriority w:val="99"/>
    <w:semiHidden/>
    <w:unhideWhenUsed/>
    <w:rsid w:val="00876444"/>
    <w:rPr>
      <w:sz w:val="20"/>
      <w:szCs w:val="20"/>
    </w:rPr>
  </w:style>
  <w:style w:type="character" w:customStyle="1" w:styleId="TextonotapieCar">
    <w:name w:val="Texto nota pie Car"/>
    <w:basedOn w:val="Fuentedeprrafopredeter"/>
    <w:link w:val="Textonotapie"/>
    <w:uiPriority w:val="99"/>
    <w:semiHidden/>
    <w:rsid w:val="00876444"/>
    <w:rPr>
      <w:lang w:val="en-US" w:eastAsia="en-US"/>
    </w:rPr>
  </w:style>
  <w:style w:type="character" w:styleId="Refdenotaalpie">
    <w:name w:val="footnote reference"/>
    <w:basedOn w:val="Fuentedeprrafopredeter"/>
    <w:uiPriority w:val="99"/>
    <w:unhideWhenUsed/>
    <w:rsid w:val="00876444"/>
    <w:rPr>
      <w:vertAlign w:val="superscript"/>
    </w:rPr>
  </w:style>
  <w:style w:type="paragraph" w:styleId="Textodeglobo">
    <w:name w:val="Balloon Text"/>
    <w:basedOn w:val="Normal"/>
    <w:link w:val="TextodegloboCar"/>
    <w:uiPriority w:val="99"/>
    <w:semiHidden/>
    <w:unhideWhenUsed/>
    <w:rsid w:val="0081258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12584"/>
    <w:rPr>
      <w:rFonts w:ascii="Segoe UI" w:hAnsi="Segoe UI" w:cs="Segoe UI"/>
      <w:sz w:val="18"/>
      <w:szCs w:val="18"/>
      <w:lang w:val="en-US" w:eastAsia="en-US"/>
    </w:rPr>
  </w:style>
  <w:style w:type="paragraph" w:styleId="Prrafodelista">
    <w:name w:val="List Paragraph"/>
    <w:basedOn w:val="Normal"/>
    <w:uiPriority w:val="34"/>
    <w:qFormat/>
    <w:rsid w:val="00146B4F"/>
    <w:pPr>
      <w:spacing w:after="200" w:line="276" w:lineRule="auto"/>
      <w:ind w:left="720"/>
      <w:contextualSpacing/>
    </w:pPr>
    <w:rPr>
      <w:rFonts w:asciiTheme="minorHAnsi" w:eastAsiaTheme="minorHAnsi" w:hAnsiTheme="minorHAnsi" w:cstheme="minorBidi"/>
      <w:sz w:val="22"/>
      <w:szCs w:val="2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650</Words>
  <Characters>3580</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SEC_TEC</dc:creator>
  <cp:lastModifiedBy>Secretaria Técnica CEDH</cp:lastModifiedBy>
  <cp:revision>12</cp:revision>
  <cp:lastPrinted>2019-05-30T14:22:00Z</cp:lastPrinted>
  <dcterms:created xsi:type="dcterms:W3CDTF">2019-05-30T02:16:00Z</dcterms:created>
  <dcterms:modified xsi:type="dcterms:W3CDTF">2019-05-30T14:22:00Z</dcterms:modified>
</cp:coreProperties>
</file>