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B3D" w:rsidRPr="00441BBE" w:rsidRDefault="00A90B3D" w:rsidP="00A90B3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A90B3D" w:rsidRPr="00441BBE" w:rsidRDefault="00A90B3D" w:rsidP="00A90B3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A90B3D" w:rsidRPr="00441BBE" w:rsidRDefault="00A90B3D" w:rsidP="00A90B3D">
      <w:pPr>
        <w:pStyle w:val="Default"/>
        <w:jc w:val="both"/>
        <w:rPr>
          <w:rFonts w:asciiTheme="minorHAnsi" w:hAnsiTheme="minorHAnsi" w:cstheme="minorHAnsi"/>
          <w:b/>
          <w:bCs/>
        </w:rPr>
      </w:pPr>
      <w:r w:rsidRPr="00441BBE">
        <w:rPr>
          <w:rFonts w:asciiTheme="minorHAnsi" w:hAnsiTheme="minorHAnsi" w:cstheme="minorHAnsi"/>
          <w:b/>
        </w:rPr>
        <w:t xml:space="preserve">Son facultades de la </w:t>
      </w:r>
      <w:r w:rsidRPr="00441BBE">
        <w:rPr>
          <w:rFonts w:asciiTheme="minorHAnsi" w:hAnsiTheme="minorHAnsi" w:cstheme="minorHAnsi"/>
          <w:b/>
          <w:bCs/>
        </w:rPr>
        <w:t>Dirección de la Defensoría Pública de Personas y Comunidades Indígenas:</w:t>
      </w:r>
    </w:p>
    <w:p w:rsidR="00A90B3D" w:rsidRPr="00441BBE" w:rsidRDefault="00A90B3D" w:rsidP="00A90B3D">
      <w:pPr>
        <w:pStyle w:val="Default"/>
        <w:jc w:val="both"/>
        <w:rPr>
          <w:rFonts w:asciiTheme="minorHAnsi" w:hAnsiTheme="minorHAnsi" w:cstheme="minorHAnsi"/>
          <w:bCs/>
        </w:rPr>
      </w:pPr>
    </w:p>
    <w:p w:rsidR="00A90B3D" w:rsidRPr="00441BBE" w:rsidRDefault="00A90B3D" w:rsidP="00A90B3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441BBE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 xml:space="preserve">De acuerdo con el artículo 29 de la Ley de la Defensoría Pública del Estado,  </w:t>
      </w:r>
      <w:r w:rsidRPr="00441BBE">
        <w:rPr>
          <w:rFonts w:asciiTheme="minorHAnsi" w:hAnsiTheme="minorHAnsi" w:cstheme="minorHAnsi"/>
          <w:sz w:val="24"/>
          <w:szCs w:val="24"/>
        </w:rPr>
        <w:t>son atribuciones de la o el titular de la Dirección de Defensoría Pública Indígena, además de los que competen a las direcciones de Defensoría Pública Social y Penal, son las siguientes:</w:t>
      </w:r>
    </w:p>
    <w:p w:rsidR="00A90B3D" w:rsidRPr="00441BBE" w:rsidRDefault="00A90B3D" w:rsidP="00A90B3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A90B3D" w:rsidRPr="00441BBE" w:rsidRDefault="00A90B3D" w:rsidP="00A90B3D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441BBE">
        <w:rPr>
          <w:rFonts w:asciiTheme="minorHAnsi" w:hAnsiTheme="minorHAnsi" w:cstheme="minorHAnsi"/>
          <w:b/>
          <w:bCs/>
        </w:rPr>
        <w:t xml:space="preserve"> </w:t>
      </w:r>
      <w:r w:rsidRPr="00441BBE">
        <w:rPr>
          <w:rFonts w:asciiTheme="minorHAnsi" w:hAnsiTheme="minorHAnsi" w:cstheme="minorHAnsi"/>
        </w:rPr>
        <w:t xml:space="preserve">Acordar con la o el Coordinador General, los programas y acciones que correspondan a su área; </w:t>
      </w:r>
    </w:p>
    <w:p w:rsidR="00A90B3D" w:rsidRPr="00441BBE" w:rsidRDefault="00A90B3D" w:rsidP="00A90B3D">
      <w:pPr>
        <w:pStyle w:val="Default"/>
        <w:ind w:left="1080"/>
        <w:jc w:val="both"/>
        <w:rPr>
          <w:rFonts w:asciiTheme="minorHAnsi" w:hAnsiTheme="minorHAnsi" w:cstheme="minorHAnsi"/>
        </w:rPr>
      </w:pPr>
    </w:p>
    <w:p w:rsidR="00A90B3D" w:rsidRPr="00441BBE" w:rsidRDefault="00A90B3D" w:rsidP="00A90B3D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441BBE">
        <w:rPr>
          <w:rFonts w:asciiTheme="minorHAnsi" w:hAnsiTheme="minorHAnsi" w:cstheme="minorHAnsi"/>
        </w:rPr>
        <w:t xml:space="preserve">Promover que la Defensoría cuente con suficientes traductores y gestionar la capacitación de personas que puedan fungir como tales en los procesos penales y en los juicios en que participen personas indígenas que no hablen suficientemente el español; </w:t>
      </w:r>
    </w:p>
    <w:p w:rsidR="00A90B3D" w:rsidRPr="00441BBE" w:rsidRDefault="00A90B3D" w:rsidP="00A90B3D">
      <w:pPr>
        <w:pStyle w:val="Default"/>
        <w:jc w:val="both"/>
        <w:rPr>
          <w:rFonts w:asciiTheme="minorHAnsi" w:hAnsiTheme="minorHAnsi" w:cstheme="minorHAnsi"/>
        </w:rPr>
      </w:pPr>
    </w:p>
    <w:p w:rsidR="00A90B3D" w:rsidRPr="00441BBE" w:rsidRDefault="00A90B3D" w:rsidP="00A90B3D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441BBE">
        <w:rPr>
          <w:rFonts w:asciiTheme="minorHAnsi" w:hAnsiTheme="minorHAnsi" w:cstheme="minorHAnsi"/>
        </w:rPr>
        <w:t xml:space="preserve">Promover la aportación de estudios y peritajes antropológicos en relación con la cultura y sistemas normativos indígenas en los casos en que se considere necesario para la defensa de las personas indígenas; </w:t>
      </w:r>
    </w:p>
    <w:p w:rsidR="00A90B3D" w:rsidRPr="00441BBE" w:rsidRDefault="00A90B3D" w:rsidP="00A90B3D">
      <w:pPr>
        <w:pStyle w:val="Default"/>
        <w:jc w:val="both"/>
        <w:rPr>
          <w:rFonts w:asciiTheme="minorHAnsi" w:hAnsiTheme="minorHAnsi" w:cstheme="minorHAnsi"/>
        </w:rPr>
      </w:pPr>
    </w:p>
    <w:p w:rsidR="00A90B3D" w:rsidRPr="00441BBE" w:rsidRDefault="00A90B3D" w:rsidP="00A90B3D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441BBE">
        <w:rPr>
          <w:rFonts w:asciiTheme="minorHAnsi" w:hAnsiTheme="minorHAnsi" w:cstheme="minorHAnsi"/>
        </w:rPr>
        <w:t xml:space="preserve">Fomentar entre las defensoras y defensores adscritos a esta Dirección, la aplicación de las disposiciones constitucionales; la legislación internacional, federal, y estatal en relación a la justicia indígena y demás que contribuyan a la solución alterna de conflictos, con respeto a la identidad cultural del pueblo o comunidad indígena de que se trate, y </w:t>
      </w:r>
    </w:p>
    <w:p w:rsidR="00A90B3D" w:rsidRPr="00441BBE" w:rsidRDefault="00A90B3D" w:rsidP="00A90B3D">
      <w:pPr>
        <w:pStyle w:val="Default"/>
        <w:jc w:val="both"/>
        <w:rPr>
          <w:rFonts w:asciiTheme="minorHAnsi" w:hAnsiTheme="minorHAnsi" w:cstheme="minorHAnsi"/>
        </w:rPr>
      </w:pPr>
    </w:p>
    <w:p w:rsidR="00A90B3D" w:rsidRPr="00441BBE" w:rsidRDefault="00A90B3D" w:rsidP="00A90B3D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441BBE">
        <w:rPr>
          <w:rFonts w:asciiTheme="minorHAnsi" w:hAnsiTheme="minorHAnsi" w:cstheme="minorHAnsi"/>
        </w:rPr>
        <w:t>Vigilar que las y los defensores cumplan con las disposiciones que establecen esta Ley y su Reglamento Interno.</w:t>
      </w:r>
    </w:p>
    <w:p w:rsidR="00D81DBA" w:rsidRPr="00A81845" w:rsidRDefault="00D81DBA" w:rsidP="00A81845">
      <w:bookmarkStart w:id="0" w:name="_GoBack"/>
      <w:bookmarkEnd w:id="0"/>
    </w:p>
    <w:sectPr w:rsidR="00D81DBA" w:rsidRPr="00A81845" w:rsidSect="00DE6E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7DCD" w:rsidRDefault="006F7DCD">
      <w:pPr>
        <w:spacing w:after="0" w:line="240" w:lineRule="auto"/>
      </w:pPr>
      <w:r>
        <w:separator/>
      </w:r>
    </w:p>
  </w:endnote>
  <w:endnote w:type="continuationSeparator" w:id="0">
    <w:p w:rsidR="006F7DCD" w:rsidRDefault="006F7D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D659082C-58F3-4B7A-8A22-9F562D4F6BF8}"/>
    <w:embedBold r:id="rId2" w:fontKey="{98FCE2F1-5568-4EDF-8818-E33DC78AEA87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301178D9-A1E9-4985-9640-66EF7D9C4EDB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7DCD" w:rsidRDefault="006F7DCD">
      <w:pPr>
        <w:spacing w:after="0" w:line="240" w:lineRule="auto"/>
      </w:pPr>
      <w:r>
        <w:separator/>
      </w:r>
    </w:p>
  </w:footnote>
  <w:footnote w:type="continuationSeparator" w:id="0">
    <w:p w:rsidR="006F7DCD" w:rsidRDefault="006F7D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FA2260"/>
    <w:multiLevelType w:val="hybridMultilevel"/>
    <w:tmpl w:val="449445D6"/>
    <w:lvl w:ilvl="0" w:tplc="FED0403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6F7DCD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81845"/>
    <w:rsid w:val="00A90B3D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A7A808-E077-4578-967C-5742B1BE3E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214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11</cp:revision>
  <cp:lastPrinted>2019-02-14T17:42:00Z</cp:lastPrinted>
  <dcterms:created xsi:type="dcterms:W3CDTF">2019-02-26T20:45:00Z</dcterms:created>
  <dcterms:modified xsi:type="dcterms:W3CDTF">2019-03-31T21:33:00Z</dcterms:modified>
</cp:coreProperties>
</file>