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02E" w:rsidRDefault="00DC702E" w:rsidP="00DC702E">
      <w:pPr>
        <w:jc w:val="center"/>
        <w:rPr>
          <w:sz w:val="96"/>
        </w:rPr>
      </w:pPr>
    </w:p>
    <w:p w:rsidR="00CC5EA2" w:rsidRPr="00DC702E" w:rsidRDefault="00DC702E" w:rsidP="00DC702E">
      <w:pPr>
        <w:jc w:val="center"/>
        <w:rPr>
          <w:sz w:val="96"/>
        </w:rPr>
      </w:pPr>
      <w:bookmarkStart w:id="0" w:name="_GoBack"/>
      <w:bookmarkEnd w:id="0"/>
      <w:r w:rsidRPr="00DC702E">
        <w:rPr>
          <w:sz w:val="96"/>
        </w:rPr>
        <w:t>Al 31 de Enero 2019, No se cuenta con el documento de  Acuerdos distribución de recursos FISM, FFM y calendario de entrega 2019</w:t>
      </w:r>
    </w:p>
    <w:sectPr w:rsidR="00CC5EA2" w:rsidRPr="00DC702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02E"/>
    <w:rsid w:val="00CC5EA2"/>
    <w:rsid w:val="00DC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2019-02-08T18:12:00Z</dcterms:created>
  <dcterms:modified xsi:type="dcterms:W3CDTF">2019-02-08T18:13:00Z</dcterms:modified>
</cp:coreProperties>
</file>