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B71" w:rsidRPr="00F72796" w:rsidRDefault="00160B71" w:rsidP="00D374C5">
      <w:pPr>
        <w:pStyle w:val="Default"/>
        <w:jc w:val="center"/>
        <w:rPr>
          <w:b/>
          <w:color w:val="auto"/>
        </w:rPr>
      </w:pPr>
      <w:r w:rsidRPr="00F72796">
        <w:rPr>
          <w:b/>
          <w:color w:val="auto"/>
        </w:rPr>
        <w:t>De la Tesorería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ARTICULO 81. Son facultades y obligaciones del Tesorero: </w:t>
      </w:r>
    </w:p>
    <w:p w:rsidR="00D374C5" w:rsidRPr="00F72796" w:rsidRDefault="00D374C5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I. Intervenir en la elaboración de los proyectos de leyes, reglamentos y demás disposiciones relacionadas con el manejo de los asuntos financieros del Municipio;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II. Asumir bajo su estricta responsabilidad lo relativo a las erogaciones que realice fuera de los presupuestos y programas aprobados por el Ayuntamiento; </w:t>
      </w:r>
    </w:p>
    <w:p w:rsidR="00F72796" w:rsidRPr="00F72796" w:rsidRDefault="00F72796" w:rsidP="00373D0D">
      <w:pPr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V. Vigilar el cumplimiento de la leyes, reglamentos y demás disposiciones de carácter fiscal;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VI. Tener al corriente el padrón fiscal municipal, así como ordenar y practicar visitas de auditoría conforme a derecho, a los obligados en materia de contribuciones hacendarias municipales;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VII. Ejercer la facultad para hacer efectivo el pago de las contribuciones cuyo cobro le corresponda al municipio;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VIII. Llevar la contabilidad del municipio;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03 DE ABRIL DE 2007)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lastRenderedPageBreak/>
        <w:t xml:space="preserve">IX. Formular mensualmente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03 DE ABRIL DE 2007)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XI. Intervenir en la formulación de convenios de coordinación fiscal con el Gobierno del Estado;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03 DE ABRIL DE 2007)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P.O.28 DE DICIEMBRE DE 2010)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 06 DE DICIEMBRE DE 2012)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P.O.08 DE OCTUBRE DE 2016)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(ADICIONADA, P.O. 06 DE DICIEMBRE DE 2012)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(REFORMADA, P.O.08 DE OCTUBRE DE 2016) </w:t>
      </w:r>
    </w:p>
    <w:p w:rsidR="00F72796" w:rsidRPr="00F72796" w:rsidRDefault="00F72796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 xml:space="preserve">XIII. Confirmar que los financiamientos que se contraten se celebren en las mejores condiciones del mercado, y </w:t>
      </w:r>
    </w:p>
    <w:p w:rsidR="00373D0D" w:rsidRPr="00F72796" w:rsidRDefault="00373D0D" w:rsidP="00373D0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i/>
          <w:iCs/>
          <w:sz w:val="24"/>
          <w:szCs w:val="24"/>
        </w:rPr>
        <w:t xml:space="preserve">(ADICIONADA, P.O.08 DE OCTUBRE DE 2016) </w:t>
      </w:r>
    </w:p>
    <w:p w:rsidR="00F72796" w:rsidRPr="00F72796" w:rsidRDefault="00F72796" w:rsidP="00373D0D">
      <w:pPr>
        <w:jc w:val="both"/>
        <w:rPr>
          <w:rFonts w:ascii="Arial" w:hAnsi="Arial" w:cs="Arial"/>
          <w:b/>
          <w:sz w:val="24"/>
          <w:szCs w:val="24"/>
        </w:rPr>
      </w:pPr>
    </w:p>
    <w:p w:rsidR="00373D0D" w:rsidRPr="00F72796" w:rsidRDefault="00373D0D" w:rsidP="00373D0D">
      <w:pPr>
        <w:jc w:val="both"/>
        <w:rPr>
          <w:rFonts w:ascii="Arial" w:hAnsi="Arial" w:cs="Arial"/>
          <w:b/>
          <w:sz w:val="24"/>
          <w:szCs w:val="24"/>
        </w:rPr>
      </w:pPr>
      <w:r w:rsidRPr="00F72796">
        <w:rPr>
          <w:rFonts w:ascii="Arial" w:hAnsi="Arial" w:cs="Arial"/>
          <w:b/>
          <w:sz w:val="24"/>
          <w:szCs w:val="24"/>
        </w:rPr>
        <w:t>XIV. Las demás que le señalen las leyes y reglamentos municipales.</w:t>
      </w:r>
    </w:p>
    <w:sectPr w:rsidR="00373D0D" w:rsidRPr="00F727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71"/>
    <w:rsid w:val="00160B71"/>
    <w:rsid w:val="00373D0D"/>
    <w:rsid w:val="00A80FA3"/>
    <w:rsid w:val="00D374C5"/>
    <w:rsid w:val="00F7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60B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60B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563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equipo35</dc:creator>
  <cp:lastModifiedBy>TESORERIA3</cp:lastModifiedBy>
  <cp:revision>4</cp:revision>
  <dcterms:created xsi:type="dcterms:W3CDTF">2019-03-12T17:27:00Z</dcterms:created>
  <dcterms:modified xsi:type="dcterms:W3CDTF">2019-03-14T18:18:00Z</dcterms:modified>
</cp:coreProperties>
</file>