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2754" w:rsidRDefault="00AB4252">
      <w:r w:rsidRPr="00AB4252">
        <w:t>Esta Secretaría General no recibe ingresos, toda vez que el único ente facultado es la Secretaría de Finanzas, tal y como se estipula en el artículo 3o. De la Ley de Ingresos del Estado para el ejercicio fiscal 2019</w:t>
      </w:r>
      <w:bookmarkStart w:id="0" w:name="_GoBack"/>
      <w:bookmarkEnd w:id="0"/>
      <w:r w:rsidR="006B070B">
        <w:t>, por lo que dicho hipervínculo no puede ser generado.</w:t>
      </w:r>
    </w:p>
    <w:sectPr w:rsidR="00D027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70B"/>
    <w:rsid w:val="006B070B"/>
    <w:rsid w:val="00AB4252"/>
    <w:rsid w:val="00D02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47F8E1-FAC1-4025-ACD6-90EB93026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Inc.</dc:creator>
  <cp:keywords/>
  <dc:description/>
  <cp:lastModifiedBy>HP Inc.</cp:lastModifiedBy>
  <cp:revision>2</cp:revision>
  <dcterms:created xsi:type="dcterms:W3CDTF">2019-03-22T17:44:00Z</dcterms:created>
  <dcterms:modified xsi:type="dcterms:W3CDTF">2019-03-22T17:44:00Z</dcterms:modified>
</cp:coreProperties>
</file>