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214" w:rsidRPr="0090693E" w:rsidRDefault="00450214" w:rsidP="0090693E">
      <w:pPr>
        <w:spacing w:after="0"/>
        <w:ind w:left="2552"/>
        <w:jc w:val="right"/>
        <w:rPr>
          <w:rFonts w:ascii="Arial" w:hAnsi="Arial" w:cs="Arial"/>
          <w:b/>
          <w:color w:val="2E74B5" w:themeColor="accent1" w:themeShade="BF"/>
          <w:sz w:val="24"/>
          <w:szCs w:val="24"/>
        </w:rPr>
      </w:pPr>
      <w:r w:rsidRPr="0090693E">
        <w:rPr>
          <w:rFonts w:ascii="Arial" w:hAnsi="Arial" w:cs="Arial"/>
          <w:b/>
          <w:color w:val="2E74B5" w:themeColor="accent1" w:themeShade="BF"/>
          <w:sz w:val="24"/>
          <w:szCs w:val="24"/>
        </w:rPr>
        <w:t xml:space="preserve">RECURSO DE REVISIÓN  </w:t>
      </w:r>
      <w:r w:rsidR="00F668B0" w:rsidRPr="0090693E">
        <w:rPr>
          <w:rFonts w:ascii="Arial" w:hAnsi="Arial" w:cs="Arial"/>
          <w:b/>
          <w:color w:val="2E74B5" w:themeColor="accent1" w:themeShade="BF"/>
          <w:sz w:val="24"/>
          <w:szCs w:val="24"/>
        </w:rPr>
        <w:t>884</w:t>
      </w:r>
      <w:r w:rsidRPr="0090693E">
        <w:rPr>
          <w:rFonts w:ascii="Arial" w:hAnsi="Arial" w:cs="Arial"/>
          <w:b/>
          <w:color w:val="2E74B5" w:themeColor="accent1" w:themeShade="BF"/>
          <w:sz w:val="24"/>
          <w:szCs w:val="24"/>
        </w:rPr>
        <w:t>/2018-2.</w:t>
      </w:r>
    </w:p>
    <w:p w:rsidR="00450214" w:rsidRPr="0090693E" w:rsidRDefault="00450214" w:rsidP="0090693E">
      <w:pPr>
        <w:spacing w:after="0"/>
        <w:ind w:left="2552"/>
        <w:jc w:val="right"/>
        <w:rPr>
          <w:rFonts w:ascii="Arial" w:hAnsi="Arial" w:cs="Arial"/>
          <w:b/>
          <w:color w:val="2E74B5" w:themeColor="accent1" w:themeShade="BF"/>
          <w:sz w:val="24"/>
          <w:szCs w:val="24"/>
        </w:rPr>
      </w:pPr>
    </w:p>
    <w:p w:rsidR="00450214" w:rsidRPr="0090693E" w:rsidRDefault="00450214" w:rsidP="0090693E">
      <w:pPr>
        <w:spacing w:after="0"/>
        <w:ind w:left="2552"/>
        <w:jc w:val="right"/>
        <w:rPr>
          <w:rFonts w:ascii="Arial" w:eastAsia="Times New Roman" w:hAnsi="Arial" w:cs="Arial"/>
          <w:b/>
          <w:caps/>
          <w:color w:val="2E74B5" w:themeColor="accent1" w:themeShade="BF"/>
          <w:sz w:val="24"/>
          <w:szCs w:val="24"/>
          <w:lang w:eastAsia="es-MX"/>
        </w:rPr>
      </w:pP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r w:rsidRPr="0090693E">
        <w:rPr>
          <w:rFonts w:ascii="Arial" w:eastAsia="Times New Roman" w:hAnsi="Arial" w:cs="Arial"/>
          <w:b/>
          <w:caps/>
          <w:color w:val="2E74B5" w:themeColor="accent1" w:themeShade="BF"/>
          <w:sz w:val="24"/>
          <w:szCs w:val="24"/>
          <w:lang w:eastAsia="es-MX"/>
        </w:rPr>
        <w:t xml:space="preserve">COMISIONADO PONENTE: </w:t>
      </w: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r w:rsidRPr="0090693E">
        <w:rPr>
          <w:rFonts w:ascii="Arial" w:eastAsia="Times New Roman" w:hAnsi="Arial" w:cs="Arial"/>
          <w:b/>
          <w:caps/>
          <w:color w:val="2E74B5" w:themeColor="accent1" w:themeShade="BF"/>
          <w:sz w:val="24"/>
          <w:szCs w:val="24"/>
          <w:lang w:eastAsia="es-MX"/>
        </w:rPr>
        <w:t>pAULINA SÁNCHEZ PÉREZ DEL POZO</w:t>
      </w: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r w:rsidRPr="0090693E">
        <w:rPr>
          <w:rFonts w:ascii="Arial" w:eastAsia="Times New Roman" w:hAnsi="Arial" w:cs="Arial"/>
          <w:b/>
          <w:caps/>
          <w:color w:val="2E74B5" w:themeColor="accent1" w:themeShade="BF"/>
          <w:sz w:val="24"/>
          <w:szCs w:val="24"/>
          <w:lang w:eastAsia="es-MX"/>
        </w:rPr>
        <w:t>MATERIA:</w:t>
      </w: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r w:rsidRPr="0090693E">
        <w:rPr>
          <w:rFonts w:ascii="Arial" w:eastAsia="Times New Roman" w:hAnsi="Arial" w:cs="Arial"/>
          <w:b/>
          <w:caps/>
          <w:color w:val="2E74B5" w:themeColor="accent1" w:themeShade="BF"/>
          <w:sz w:val="24"/>
          <w:szCs w:val="24"/>
          <w:lang w:eastAsia="es-MX"/>
        </w:rPr>
        <w:t>ACCESO A LA INFORMACIÓN PÚBLICA</w:t>
      </w: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p>
    <w:p w:rsidR="00450214" w:rsidRPr="0090693E" w:rsidRDefault="00450214" w:rsidP="0090693E">
      <w:pPr>
        <w:spacing w:after="0"/>
        <w:jc w:val="right"/>
        <w:rPr>
          <w:rFonts w:ascii="Arial" w:eastAsia="Times New Roman" w:hAnsi="Arial" w:cs="Arial"/>
          <w:b/>
          <w:caps/>
          <w:color w:val="2E74B5" w:themeColor="accent1" w:themeShade="BF"/>
          <w:sz w:val="24"/>
          <w:szCs w:val="24"/>
          <w:lang w:eastAsia="es-MX"/>
        </w:rPr>
      </w:pPr>
      <w:r w:rsidRPr="0090693E">
        <w:rPr>
          <w:rFonts w:ascii="Arial" w:eastAsia="Times New Roman" w:hAnsi="Arial" w:cs="Arial"/>
          <w:b/>
          <w:caps/>
          <w:color w:val="2E74B5" w:themeColor="accent1" w:themeShade="BF"/>
          <w:sz w:val="24"/>
          <w:szCs w:val="24"/>
          <w:lang w:eastAsia="es-MX"/>
        </w:rPr>
        <w:t>SUJETO OBLIGADO:</w:t>
      </w:r>
    </w:p>
    <w:p w:rsidR="00450214" w:rsidRPr="0090693E" w:rsidRDefault="00450214" w:rsidP="0090693E">
      <w:pPr>
        <w:pStyle w:val="corte2ponente"/>
        <w:spacing w:line="276" w:lineRule="auto"/>
        <w:jc w:val="both"/>
        <w:rPr>
          <w:rFonts w:cs="Arial"/>
          <w:color w:val="2E74B5" w:themeColor="accent1" w:themeShade="BF"/>
          <w:sz w:val="24"/>
          <w:szCs w:val="24"/>
        </w:rPr>
      </w:pPr>
      <w:r w:rsidRPr="0090693E">
        <w:rPr>
          <w:rFonts w:cs="Arial"/>
          <w:color w:val="2E74B5" w:themeColor="accent1" w:themeShade="BF"/>
          <w:sz w:val="24"/>
          <w:szCs w:val="24"/>
        </w:rPr>
        <w:t>SUPREMO TRIBUNAL DE JUSTICIA Y CONSEJO DE LA JUDICATURA DEL PODER JUDICIAL DEL ESTADO Y OTROS.</w:t>
      </w:r>
    </w:p>
    <w:p w:rsidR="00450214" w:rsidRPr="0090693E" w:rsidRDefault="00450214" w:rsidP="0090693E">
      <w:pPr>
        <w:pStyle w:val="Textonotapie"/>
        <w:spacing w:after="0"/>
        <w:jc w:val="right"/>
        <w:rPr>
          <w:rFonts w:ascii="Arial" w:hAnsi="Arial" w:cs="Arial"/>
          <w:b/>
          <w:color w:val="2E74B5" w:themeColor="accent1" w:themeShade="BF"/>
          <w:sz w:val="24"/>
          <w:szCs w:val="24"/>
        </w:rPr>
      </w:pPr>
    </w:p>
    <w:p w:rsidR="00450214" w:rsidRPr="0090693E" w:rsidRDefault="00450214" w:rsidP="0090693E">
      <w:pPr>
        <w:pStyle w:val="corte2ponente"/>
        <w:spacing w:line="276" w:lineRule="auto"/>
        <w:jc w:val="right"/>
        <w:rPr>
          <w:rFonts w:cs="Arial"/>
          <w:color w:val="2E74B5" w:themeColor="accent1" w:themeShade="BF"/>
          <w:sz w:val="24"/>
          <w:szCs w:val="24"/>
        </w:rPr>
      </w:pPr>
    </w:p>
    <w:p w:rsidR="00450214" w:rsidRPr="0090693E" w:rsidRDefault="00450214" w:rsidP="0090693E">
      <w:pPr>
        <w:pStyle w:val="corte1datos"/>
        <w:spacing w:line="276" w:lineRule="auto"/>
        <w:jc w:val="both"/>
        <w:rPr>
          <w:rFonts w:cs="Arial"/>
          <w:color w:val="2E74B5" w:themeColor="accent1" w:themeShade="BF"/>
          <w:sz w:val="24"/>
          <w:szCs w:val="24"/>
        </w:rPr>
      </w:pPr>
    </w:p>
    <w:p w:rsidR="00450214" w:rsidRPr="0090693E" w:rsidRDefault="00450214" w:rsidP="0090693E">
      <w:pPr>
        <w:pStyle w:val="corte2ponente"/>
        <w:spacing w:line="276" w:lineRule="auto"/>
        <w:rPr>
          <w:rFonts w:cs="Arial"/>
          <w:color w:val="2E74B5" w:themeColor="accent1" w:themeShade="BF"/>
          <w:sz w:val="24"/>
          <w:szCs w:val="24"/>
        </w:rPr>
      </w:pPr>
    </w:p>
    <w:p w:rsidR="00450214" w:rsidRPr="0090693E" w:rsidRDefault="00450214" w:rsidP="0090693E">
      <w:pPr>
        <w:pStyle w:val="corte2ponente"/>
        <w:spacing w:line="276" w:lineRule="auto"/>
        <w:rPr>
          <w:rFonts w:cs="Arial"/>
          <w:color w:val="2E74B5" w:themeColor="accent1" w:themeShade="BF"/>
          <w:sz w:val="24"/>
          <w:szCs w:val="24"/>
        </w:rPr>
      </w:pPr>
    </w:p>
    <w:p w:rsidR="00450214" w:rsidRPr="0090693E" w:rsidRDefault="00450214" w:rsidP="0090693E">
      <w:pPr>
        <w:spacing w:after="0"/>
        <w:jc w:val="both"/>
        <w:rPr>
          <w:rFonts w:ascii="Arial" w:eastAsia="Times New Roman" w:hAnsi="Arial" w:cs="Arial"/>
          <w:b/>
          <w:color w:val="2E74B5" w:themeColor="accent1" w:themeShade="BF"/>
          <w:sz w:val="24"/>
          <w:szCs w:val="24"/>
          <w:vertAlign w:val="subscript"/>
          <w:lang w:eastAsia="es-MX"/>
        </w:rPr>
      </w:pPr>
      <w:r w:rsidRPr="0090693E">
        <w:rPr>
          <w:rFonts w:ascii="Arial" w:hAnsi="Arial" w:cs="Arial"/>
          <w:color w:val="2E74B5" w:themeColor="accent1" w:themeShade="BF"/>
          <w:sz w:val="24"/>
          <w:szCs w:val="24"/>
        </w:rPr>
        <w:tab/>
      </w:r>
      <w:r w:rsidRPr="0090693E">
        <w:rPr>
          <w:rFonts w:ascii="Arial" w:eastAsia="Times New Roman" w:hAnsi="Arial" w:cs="Arial"/>
          <w:color w:val="2E74B5" w:themeColor="accent1" w:themeShade="BF"/>
          <w:sz w:val="24"/>
          <w:szCs w:val="24"/>
          <w:lang w:eastAsia="es-MX"/>
        </w:rPr>
        <w:t xml:space="preserve">San Luis Potosí, San Luis Potosí. Acuerdo del Pleno de la Comisión Estatal de Garantía de Acceso a la Información Pública, </w:t>
      </w:r>
      <w:r w:rsidR="00112D17" w:rsidRPr="0090693E">
        <w:rPr>
          <w:rFonts w:ascii="Arial" w:eastAsia="Times New Roman" w:hAnsi="Arial" w:cs="Arial"/>
          <w:color w:val="2E74B5" w:themeColor="accent1" w:themeShade="BF"/>
          <w:sz w:val="24"/>
          <w:szCs w:val="24"/>
          <w:lang w:eastAsia="es-MX"/>
        </w:rPr>
        <w:t xml:space="preserve">correspondiente a la sesión </w:t>
      </w:r>
      <w:r w:rsidR="00FD08FD" w:rsidRPr="0090693E">
        <w:rPr>
          <w:rFonts w:ascii="Arial" w:eastAsia="Times New Roman" w:hAnsi="Arial" w:cs="Arial"/>
          <w:color w:val="2E74B5" w:themeColor="accent1" w:themeShade="BF"/>
          <w:sz w:val="24"/>
          <w:szCs w:val="24"/>
          <w:lang w:eastAsia="es-MX"/>
        </w:rPr>
        <w:t xml:space="preserve">del </w:t>
      </w:r>
      <w:r w:rsidR="00F668B0" w:rsidRPr="0090693E">
        <w:rPr>
          <w:rFonts w:ascii="Arial" w:eastAsia="Times New Roman" w:hAnsi="Arial" w:cs="Arial"/>
          <w:color w:val="2E74B5" w:themeColor="accent1" w:themeShade="BF"/>
          <w:sz w:val="24"/>
          <w:szCs w:val="24"/>
          <w:lang w:eastAsia="es-MX"/>
        </w:rPr>
        <w:t>17 diecisiete de diciembre</w:t>
      </w:r>
      <w:r w:rsidRPr="0090693E">
        <w:rPr>
          <w:rFonts w:ascii="Arial" w:eastAsia="Times New Roman" w:hAnsi="Arial" w:cs="Arial"/>
          <w:color w:val="2E74B5" w:themeColor="accent1" w:themeShade="BF"/>
          <w:sz w:val="24"/>
          <w:szCs w:val="24"/>
          <w:lang w:eastAsia="es-MX"/>
        </w:rPr>
        <w:t xml:space="preserve"> de 2018 dos mil dieciocho.</w:t>
      </w:r>
      <w:r w:rsidRPr="0090693E">
        <w:rPr>
          <w:rFonts w:ascii="Arial" w:eastAsia="Times New Roman" w:hAnsi="Arial" w:cs="Arial"/>
          <w:b/>
          <w:color w:val="2E74B5" w:themeColor="accent1" w:themeShade="BF"/>
          <w:sz w:val="24"/>
          <w:szCs w:val="24"/>
          <w:vertAlign w:val="subscript"/>
          <w:lang w:eastAsia="es-MX"/>
        </w:rPr>
        <w:t xml:space="preserve"> </w:t>
      </w:r>
    </w:p>
    <w:p w:rsidR="00450214" w:rsidRPr="0090693E" w:rsidRDefault="00450214" w:rsidP="0090693E">
      <w:pPr>
        <w:spacing w:after="0"/>
        <w:jc w:val="both"/>
        <w:rPr>
          <w:rFonts w:ascii="Arial" w:eastAsia="Times New Roman" w:hAnsi="Arial" w:cs="Arial"/>
          <w:b/>
          <w:color w:val="2E74B5" w:themeColor="accent1" w:themeShade="BF"/>
          <w:sz w:val="24"/>
          <w:szCs w:val="24"/>
          <w:lang w:eastAsia="es-MX"/>
        </w:rPr>
      </w:pPr>
    </w:p>
    <w:p w:rsidR="00450214" w:rsidRPr="0090693E" w:rsidRDefault="00450214" w:rsidP="0090693E">
      <w:pPr>
        <w:pStyle w:val="corte4fondo"/>
        <w:spacing w:line="276" w:lineRule="auto"/>
        <w:ind w:firstLine="0"/>
        <w:rPr>
          <w:rFonts w:cs="Arial"/>
          <w:b/>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VISTOS</w:t>
      </w:r>
      <w:r w:rsidRPr="0090693E">
        <w:rPr>
          <w:rFonts w:cs="Arial"/>
          <w:color w:val="2E74B5" w:themeColor="accent1" w:themeShade="BF"/>
          <w:sz w:val="24"/>
          <w:szCs w:val="24"/>
        </w:rPr>
        <w:t>, para resolver, los autos del recurso de revisión identificado al rubro; y</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spacing w:line="276" w:lineRule="auto"/>
        <w:jc w:val="center"/>
        <w:rPr>
          <w:rFonts w:cs="Arial"/>
          <w:color w:val="2E74B5" w:themeColor="accent1" w:themeShade="BF"/>
          <w:sz w:val="24"/>
          <w:szCs w:val="24"/>
        </w:rPr>
      </w:pPr>
      <w:r w:rsidRPr="0090693E">
        <w:rPr>
          <w:rFonts w:cs="Arial"/>
          <w:b/>
          <w:color w:val="2E74B5" w:themeColor="accent1" w:themeShade="BF"/>
          <w:sz w:val="24"/>
          <w:szCs w:val="24"/>
        </w:rPr>
        <w:t>RESULTANDO</w:t>
      </w:r>
      <w:r w:rsidRPr="0090693E">
        <w:rPr>
          <w:rFonts w:cs="Arial"/>
          <w:color w:val="2E74B5" w:themeColor="accent1" w:themeShade="BF"/>
          <w:sz w:val="24"/>
          <w:szCs w:val="24"/>
        </w:rPr>
        <w:t>:</w:t>
      </w:r>
    </w:p>
    <w:p w:rsidR="00450214" w:rsidRPr="0090693E" w:rsidRDefault="00450214" w:rsidP="0090693E">
      <w:pPr>
        <w:pStyle w:val="corte4fondo"/>
        <w:spacing w:line="276" w:lineRule="auto"/>
        <w:jc w:val="center"/>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 xml:space="preserve">PRIMERO. Solicitud de acceso a la información pública. </w:t>
      </w:r>
      <w:r w:rsidRPr="0090693E">
        <w:rPr>
          <w:rFonts w:cs="Arial"/>
          <w:color w:val="2E74B5" w:themeColor="accent1" w:themeShade="BF"/>
          <w:sz w:val="24"/>
          <w:szCs w:val="24"/>
        </w:rPr>
        <w:t xml:space="preserve">Según consta en la Plataforma Nacional de Transparencia en el folio </w:t>
      </w:r>
      <w:r w:rsidR="00F668B0" w:rsidRPr="0090693E">
        <w:rPr>
          <w:rFonts w:cs="Arial"/>
          <w:b/>
          <w:color w:val="2E74B5" w:themeColor="accent1" w:themeShade="BF"/>
          <w:sz w:val="24"/>
          <w:szCs w:val="24"/>
        </w:rPr>
        <w:t>00734318</w:t>
      </w:r>
      <w:r w:rsidRPr="0090693E">
        <w:rPr>
          <w:rFonts w:cs="Arial"/>
          <w:b/>
          <w:color w:val="2E74B5" w:themeColor="accent1" w:themeShade="BF"/>
          <w:sz w:val="24"/>
          <w:szCs w:val="24"/>
        </w:rPr>
        <w:t xml:space="preserve"> </w:t>
      </w:r>
      <w:r w:rsidRPr="0090693E">
        <w:rPr>
          <w:rFonts w:cs="Arial"/>
          <w:color w:val="2E74B5" w:themeColor="accent1" w:themeShade="BF"/>
          <w:sz w:val="24"/>
          <w:szCs w:val="24"/>
        </w:rPr>
        <w:t xml:space="preserve">cero, cero, </w:t>
      </w:r>
      <w:r w:rsidR="00F668B0" w:rsidRPr="0090693E">
        <w:rPr>
          <w:rFonts w:cs="Arial"/>
          <w:color w:val="2E74B5" w:themeColor="accent1" w:themeShade="BF"/>
          <w:sz w:val="24"/>
          <w:szCs w:val="24"/>
        </w:rPr>
        <w:t>setecientos treinta y cuatro mil</w:t>
      </w:r>
      <w:r w:rsidRPr="0090693E">
        <w:rPr>
          <w:rFonts w:cs="Arial"/>
          <w:color w:val="2E74B5" w:themeColor="accent1" w:themeShade="BF"/>
          <w:sz w:val="24"/>
          <w:szCs w:val="24"/>
        </w:rPr>
        <w:t xml:space="preserve"> </w:t>
      </w:r>
      <w:r w:rsidR="00F668B0" w:rsidRPr="0090693E">
        <w:rPr>
          <w:rFonts w:cs="Arial"/>
          <w:color w:val="2E74B5" w:themeColor="accent1" w:themeShade="BF"/>
          <w:sz w:val="24"/>
          <w:szCs w:val="24"/>
        </w:rPr>
        <w:t xml:space="preserve">trescientos </w:t>
      </w:r>
      <w:r w:rsidRPr="0090693E">
        <w:rPr>
          <w:rFonts w:cs="Arial"/>
          <w:color w:val="2E74B5" w:themeColor="accent1" w:themeShade="BF"/>
          <w:sz w:val="24"/>
          <w:szCs w:val="24"/>
        </w:rPr>
        <w:t xml:space="preserve">dieciocho, el </w:t>
      </w:r>
      <w:r w:rsidR="009E4400" w:rsidRPr="0090693E">
        <w:rPr>
          <w:rFonts w:cs="Arial"/>
          <w:color w:val="2E74B5" w:themeColor="accent1" w:themeShade="BF"/>
          <w:sz w:val="24"/>
          <w:szCs w:val="24"/>
        </w:rPr>
        <w:t xml:space="preserve">02 dos de </w:t>
      </w:r>
      <w:r w:rsidR="00F668B0" w:rsidRPr="0090693E">
        <w:rPr>
          <w:rFonts w:cs="Arial"/>
          <w:color w:val="2E74B5" w:themeColor="accent1" w:themeShade="BF"/>
          <w:sz w:val="24"/>
          <w:szCs w:val="24"/>
        </w:rPr>
        <w:t>octubre</w:t>
      </w:r>
      <w:r w:rsidR="009E4400" w:rsidRPr="0090693E">
        <w:rPr>
          <w:rFonts w:cs="Arial"/>
          <w:color w:val="2E74B5" w:themeColor="accent1" w:themeShade="BF"/>
          <w:sz w:val="24"/>
          <w:szCs w:val="24"/>
        </w:rPr>
        <w:t xml:space="preserve"> </w:t>
      </w:r>
      <w:r w:rsidRPr="0090693E">
        <w:rPr>
          <w:rFonts w:cs="Arial"/>
          <w:color w:val="2E74B5" w:themeColor="accent1" w:themeShade="BF"/>
          <w:sz w:val="24"/>
          <w:szCs w:val="24"/>
        </w:rPr>
        <w:t xml:space="preserve">de 2018 dos mil dieciocho el </w:t>
      </w:r>
      <w:r w:rsidRPr="0090693E">
        <w:rPr>
          <w:rFonts w:cs="Arial"/>
          <w:b/>
          <w:color w:val="2E74B5" w:themeColor="accent1" w:themeShade="BF"/>
          <w:sz w:val="24"/>
          <w:szCs w:val="24"/>
        </w:rPr>
        <w:t xml:space="preserve">PODER JUDICIAL DEL ESTADO DE SAN LUIS POTOSÍ </w:t>
      </w:r>
      <w:r w:rsidRPr="0090693E">
        <w:rPr>
          <w:rFonts w:cs="Arial"/>
          <w:color w:val="2E74B5" w:themeColor="accent1" w:themeShade="BF"/>
          <w:sz w:val="24"/>
          <w:szCs w:val="24"/>
        </w:rPr>
        <w:t>recibió una solicitud de acceso a la información pública en donde se le pidió la información siguiente</w:t>
      </w:r>
      <w:r w:rsidRPr="0090693E">
        <w:rPr>
          <w:rStyle w:val="Refdenotaalpie"/>
          <w:rFonts w:cs="Arial"/>
          <w:color w:val="2E74B5" w:themeColor="accent1" w:themeShade="BF"/>
          <w:sz w:val="24"/>
          <w:szCs w:val="24"/>
        </w:rPr>
        <w:footnoteReference w:id="1"/>
      </w:r>
      <w:r w:rsidRPr="0090693E">
        <w:rPr>
          <w:rFonts w:cs="Arial"/>
          <w:color w:val="2E74B5" w:themeColor="accent1" w:themeShade="BF"/>
          <w:sz w:val="24"/>
          <w:szCs w:val="24"/>
        </w:rPr>
        <w:t>:</w:t>
      </w:r>
    </w:p>
    <w:p w:rsidR="00163108" w:rsidRPr="0090693E" w:rsidRDefault="00163108" w:rsidP="0090693E">
      <w:pPr>
        <w:pStyle w:val="corte4fondo"/>
        <w:spacing w:line="276" w:lineRule="auto"/>
        <w:rPr>
          <w:rFonts w:cs="Arial"/>
          <w:color w:val="2E74B5" w:themeColor="accent1" w:themeShade="BF"/>
          <w:sz w:val="24"/>
          <w:szCs w:val="24"/>
        </w:rPr>
      </w:pPr>
    </w:p>
    <w:p w:rsidR="00450214" w:rsidRPr="0090693E" w:rsidRDefault="004054AB" w:rsidP="0090693E">
      <w:pPr>
        <w:pStyle w:val="corte4fondo"/>
        <w:spacing w:line="276" w:lineRule="auto"/>
        <w:ind w:firstLine="0"/>
        <w:rPr>
          <w:rFonts w:cs="Arial"/>
          <w:color w:val="2E74B5" w:themeColor="accent1" w:themeShade="BF"/>
          <w:sz w:val="24"/>
          <w:szCs w:val="24"/>
        </w:rPr>
      </w:pPr>
      <w:r w:rsidRPr="0090693E">
        <w:rPr>
          <w:rFonts w:cs="Arial"/>
          <w:noProof/>
          <w:color w:val="2E74B5" w:themeColor="accent1" w:themeShade="BF"/>
          <w:sz w:val="24"/>
          <w:szCs w:val="24"/>
        </w:rPr>
        <w:drawing>
          <wp:inline distT="0" distB="0" distL="0" distR="0">
            <wp:extent cx="5610860" cy="1996973"/>
            <wp:effectExtent l="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615590" cy="1998656"/>
                    </a:xfrm>
                    <a:prstGeom prst="rect">
                      <a:avLst/>
                    </a:prstGeom>
                    <a:noFill/>
                    <a:ln w="9525">
                      <a:noFill/>
                      <a:miter lim="800000"/>
                      <a:headEnd/>
                      <a:tailEnd/>
                    </a:ln>
                  </pic:spPr>
                </pic:pic>
              </a:graphicData>
            </a:graphic>
          </wp:inline>
        </w:drawing>
      </w:r>
    </w:p>
    <w:p w:rsidR="00450214" w:rsidRPr="0090693E" w:rsidRDefault="00450214" w:rsidP="0090693E">
      <w:pPr>
        <w:pStyle w:val="corte4fondo"/>
        <w:spacing w:line="276" w:lineRule="auto"/>
        <w:ind w:firstLine="0"/>
        <w:rPr>
          <w:rFonts w:cs="Arial"/>
          <w:color w:val="2E74B5" w:themeColor="accent1" w:themeShade="BF"/>
          <w:sz w:val="24"/>
          <w:szCs w:val="24"/>
        </w:rPr>
      </w:pPr>
    </w:p>
    <w:p w:rsidR="00450214" w:rsidRPr="0090693E" w:rsidRDefault="00450214" w:rsidP="0090693E">
      <w:pPr>
        <w:spacing w:after="0"/>
        <w:ind w:firstLine="709"/>
        <w:jc w:val="both"/>
        <w:rPr>
          <w:rFonts w:ascii="Arial" w:hAnsi="Arial" w:cs="Arial"/>
          <w:color w:val="2E74B5" w:themeColor="accent1" w:themeShade="BF"/>
          <w:sz w:val="20"/>
          <w:szCs w:val="20"/>
        </w:rPr>
      </w:pPr>
    </w:p>
    <w:p w:rsidR="004054AB" w:rsidRPr="0090693E" w:rsidRDefault="00450214"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w:t>
      </w:r>
      <w:r w:rsidR="004054AB" w:rsidRPr="0090693E">
        <w:rPr>
          <w:rFonts w:ascii="Arial" w:hAnsi="Arial" w:cs="Arial"/>
          <w:color w:val="2E74B5" w:themeColor="accent1" w:themeShade="BF"/>
          <w:sz w:val="20"/>
          <w:szCs w:val="20"/>
        </w:rPr>
        <w:t>1. Documento (acta del pleno del consejo o comisión de administración o acuerdo de cualquier naturaleza) en el que conste la autorización para gastar más del monto presupuestado para el informa del magistrado presidente para el ejercicio 2016.</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2. Documento (acta del pleno del consejo o comisión de administración o acuerdo de cualquier naturaleza) en el que conste la autorización para gastar más del monto presupuestado para el informa del magistrado presidente para el ejercicio 2017.</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3. Partida de la que se tomó la diferencia. para 2016. </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4. documento que autoriza la afectación de otra partida para hacer el pago de la diferencia entre presupuestado y gastado en el informe del presidente para 2016.</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5. Partida de la que se tomó la diferencia. para 2017. </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6. documento que autoriza la afectación de otra partida para hacer el pago de la diferencia entre presupuestado y gastado en el informe del presidente para 2017.</w:t>
      </w:r>
    </w:p>
    <w:p w:rsidR="004054AB"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7. versión digital de las facturas que avalan los gastos hechos en en el informe 2016.</w:t>
      </w:r>
    </w:p>
    <w:p w:rsidR="00450214" w:rsidRPr="0090693E" w:rsidRDefault="004054AB" w:rsidP="0090693E">
      <w:pPr>
        <w:spacing w:after="0"/>
        <w:ind w:firstLine="709"/>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8. versión digital de las facturas que avalan los gastos hechos en en el informe 2016. </w:t>
      </w:r>
      <w:r w:rsidR="00450214" w:rsidRPr="0090693E">
        <w:rPr>
          <w:rFonts w:ascii="Arial" w:hAnsi="Arial" w:cs="Arial"/>
          <w:color w:val="2E74B5" w:themeColor="accent1" w:themeShade="BF"/>
          <w:sz w:val="20"/>
          <w:szCs w:val="20"/>
        </w:rPr>
        <w:t xml:space="preserve">…”    </w:t>
      </w:r>
    </w:p>
    <w:p w:rsidR="00450214" w:rsidRPr="0090693E" w:rsidRDefault="00450214" w:rsidP="0090693E">
      <w:pPr>
        <w:spacing w:after="0"/>
        <w:ind w:firstLine="709"/>
        <w:jc w:val="both"/>
        <w:rPr>
          <w:rFonts w:ascii="Arial" w:hAnsi="Arial" w:cs="Arial"/>
          <w:b/>
          <w:color w:val="2E74B5" w:themeColor="accent1" w:themeShade="BF"/>
          <w:sz w:val="24"/>
          <w:szCs w:val="24"/>
        </w:rPr>
      </w:pPr>
    </w:p>
    <w:p w:rsidR="008A7335" w:rsidRPr="0090693E" w:rsidRDefault="008A7335"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 xml:space="preserve">SEGUNDO. Ampliación del plazo para dar respuesta a Respuesta a la solicitud de acceso a la información pública. </w:t>
      </w:r>
      <w:r w:rsidRPr="0090693E">
        <w:rPr>
          <w:rFonts w:cs="Arial"/>
          <w:color w:val="2E74B5" w:themeColor="accent1" w:themeShade="BF"/>
          <w:sz w:val="24"/>
          <w:szCs w:val="24"/>
        </w:rPr>
        <w:t xml:space="preserve">El </w:t>
      </w:r>
      <w:r w:rsidR="004054AB" w:rsidRPr="0090693E">
        <w:rPr>
          <w:rFonts w:cs="Arial"/>
          <w:color w:val="2E74B5" w:themeColor="accent1" w:themeShade="BF"/>
          <w:sz w:val="24"/>
          <w:szCs w:val="24"/>
        </w:rPr>
        <w:t>18 dieciocho de octubre</w:t>
      </w:r>
      <w:r w:rsidRPr="0090693E">
        <w:rPr>
          <w:rFonts w:cs="Arial"/>
          <w:color w:val="2E74B5" w:themeColor="accent1" w:themeShade="BF"/>
          <w:sz w:val="24"/>
          <w:szCs w:val="24"/>
        </w:rPr>
        <w:t xml:space="preserve"> de 2018 dos mil dieciocho el sujeto obligado utilizó la ampliación del plazo para dar respuesta a la solicitud de acceso a la información pública y notificó al solicitante mediante el mismo sistema electrónico como se observa a continuación</w:t>
      </w:r>
      <w:r w:rsidRPr="0090693E">
        <w:rPr>
          <w:rStyle w:val="Refdenotaalpie"/>
          <w:rFonts w:cs="Arial"/>
          <w:color w:val="2E74B5" w:themeColor="accent1" w:themeShade="BF"/>
          <w:sz w:val="24"/>
          <w:szCs w:val="24"/>
        </w:rPr>
        <w:footnoteReference w:id="2"/>
      </w:r>
      <w:r w:rsidRPr="0090693E">
        <w:rPr>
          <w:rFonts w:cs="Arial"/>
          <w:color w:val="2E74B5" w:themeColor="accent1" w:themeShade="BF"/>
          <w:sz w:val="24"/>
          <w:szCs w:val="24"/>
        </w:rPr>
        <w:t>:</w:t>
      </w:r>
    </w:p>
    <w:p w:rsidR="008A7335" w:rsidRPr="0090693E" w:rsidRDefault="008A7335" w:rsidP="0090693E">
      <w:pPr>
        <w:pStyle w:val="corte4fondo"/>
        <w:spacing w:line="276" w:lineRule="auto"/>
        <w:rPr>
          <w:rFonts w:cs="Arial"/>
          <w:color w:val="2E74B5" w:themeColor="accent1" w:themeShade="BF"/>
          <w:sz w:val="24"/>
          <w:szCs w:val="24"/>
        </w:rPr>
      </w:pPr>
    </w:p>
    <w:p w:rsidR="00E854D8" w:rsidRPr="0090693E" w:rsidRDefault="00150473" w:rsidP="0090693E">
      <w:pPr>
        <w:spacing w:after="0"/>
        <w:ind w:firstLine="709"/>
        <w:jc w:val="both"/>
        <w:rPr>
          <w:rFonts w:ascii="Arial" w:hAnsi="Arial" w:cs="Arial"/>
          <w:b/>
          <w:color w:val="2E74B5" w:themeColor="accent1" w:themeShade="BF"/>
          <w:sz w:val="24"/>
          <w:szCs w:val="24"/>
        </w:rPr>
      </w:pPr>
      <w:r w:rsidRPr="0090693E">
        <w:rPr>
          <w:rFonts w:ascii="Arial" w:hAnsi="Arial" w:cs="Arial"/>
          <w:b/>
          <w:noProof/>
          <w:color w:val="2E74B5" w:themeColor="accent1" w:themeShade="BF"/>
          <w:sz w:val="24"/>
          <w:szCs w:val="24"/>
          <w:lang w:eastAsia="es-MX"/>
        </w:rPr>
        <w:drawing>
          <wp:inline distT="0" distB="0" distL="0" distR="0">
            <wp:extent cx="5603240" cy="28822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3240" cy="2882265"/>
                    </a:xfrm>
                    <a:prstGeom prst="rect">
                      <a:avLst/>
                    </a:prstGeom>
                    <a:noFill/>
                    <a:ln>
                      <a:noFill/>
                    </a:ln>
                  </pic:spPr>
                </pic:pic>
              </a:graphicData>
            </a:graphic>
          </wp:inline>
        </w:drawing>
      </w:r>
    </w:p>
    <w:p w:rsidR="00150473" w:rsidRPr="0090693E" w:rsidRDefault="00150473" w:rsidP="0090693E">
      <w:pPr>
        <w:spacing w:after="0"/>
        <w:ind w:firstLine="709"/>
        <w:jc w:val="both"/>
        <w:rPr>
          <w:rFonts w:ascii="Arial" w:hAnsi="Arial" w:cs="Arial"/>
          <w:b/>
          <w:color w:val="2E74B5" w:themeColor="accent1" w:themeShade="BF"/>
          <w:sz w:val="24"/>
          <w:szCs w:val="24"/>
        </w:rPr>
      </w:pPr>
    </w:p>
    <w:p w:rsidR="00450214" w:rsidRPr="0090693E" w:rsidRDefault="008A7335" w:rsidP="0090693E">
      <w:pPr>
        <w:spacing w:after="0"/>
        <w:ind w:firstLine="709"/>
        <w:jc w:val="both"/>
        <w:rPr>
          <w:rFonts w:ascii="Arial" w:eastAsia="Times New Roman" w:hAnsi="Arial" w:cs="Arial"/>
          <w:color w:val="2E74B5" w:themeColor="accent1" w:themeShade="BF"/>
          <w:sz w:val="24"/>
          <w:szCs w:val="24"/>
          <w:lang w:eastAsia="es-MX"/>
        </w:rPr>
      </w:pPr>
      <w:r w:rsidRPr="0090693E">
        <w:rPr>
          <w:rFonts w:ascii="Arial" w:hAnsi="Arial" w:cs="Arial"/>
          <w:b/>
          <w:color w:val="2E74B5" w:themeColor="accent1" w:themeShade="BF"/>
          <w:sz w:val="24"/>
          <w:szCs w:val="24"/>
        </w:rPr>
        <w:t>TERCERO</w:t>
      </w:r>
      <w:r w:rsidR="00450214" w:rsidRPr="0090693E">
        <w:rPr>
          <w:rFonts w:ascii="Arial" w:hAnsi="Arial" w:cs="Arial"/>
          <w:b/>
          <w:color w:val="2E74B5" w:themeColor="accent1" w:themeShade="BF"/>
          <w:sz w:val="24"/>
          <w:szCs w:val="24"/>
        </w:rPr>
        <w:t>.</w:t>
      </w:r>
      <w:r w:rsidR="00450214" w:rsidRPr="0090693E">
        <w:rPr>
          <w:rFonts w:ascii="Arial" w:eastAsia="Times New Roman" w:hAnsi="Arial" w:cs="Arial"/>
          <w:b/>
          <w:color w:val="2E74B5" w:themeColor="accent1" w:themeShade="BF"/>
          <w:sz w:val="24"/>
          <w:szCs w:val="24"/>
          <w:lang w:eastAsia="es-MX"/>
        </w:rPr>
        <w:t xml:space="preserve"> Respuesta a la solicitud de acceso a la información pública. </w:t>
      </w:r>
      <w:r w:rsidR="00450214" w:rsidRPr="0090693E">
        <w:rPr>
          <w:rFonts w:ascii="Arial" w:eastAsia="Times New Roman" w:hAnsi="Arial" w:cs="Arial"/>
          <w:color w:val="2E74B5" w:themeColor="accent1" w:themeShade="BF"/>
          <w:sz w:val="24"/>
          <w:szCs w:val="24"/>
          <w:lang w:eastAsia="es-MX"/>
        </w:rPr>
        <w:t xml:space="preserve">El </w:t>
      </w:r>
      <w:r w:rsidR="000B4BFD">
        <w:rPr>
          <w:rFonts w:ascii="Arial" w:eastAsia="Times New Roman" w:hAnsi="Arial" w:cs="Arial"/>
          <w:color w:val="2E74B5" w:themeColor="accent1" w:themeShade="BF"/>
          <w:sz w:val="24"/>
          <w:szCs w:val="24"/>
          <w:lang w:eastAsia="es-MX"/>
        </w:rPr>
        <w:t>05 cinco de noviembre</w:t>
      </w:r>
      <w:r w:rsidR="004054AB" w:rsidRPr="0090693E">
        <w:rPr>
          <w:rFonts w:ascii="Arial" w:eastAsia="Times New Roman" w:hAnsi="Arial" w:cs="Arial"/>
          <w:color w:val="2E74B5" w:themeColor="accent1" w:themeShade="BF"/>
          <w:sz w:val="24"/>
          <w:szCs w:val="24"/>
          <w:lang w:eastAsia="es-MX"/>
        </w:rPr>
        <w:t xml:space="preserve"> </w:t>
      </w:r>
      <w:r w:rsidR="00450214" w:rsidRPr="0090693E">
        <w:rPr>
          <w:rFonts w:ascii="Arial" w:eastAsia="Times New Roman" w:hAnsi="Arial" w:cs="Arial"/>
          <w:color w:val="2E74B5" w:themeColor="accent1" w:themeShade="BF"/>
          <w:sz w:val="24"/>
          <w:szCs w:val="24"/>
          <w:lang w:eastAsia="es-MX"/>
        </w:rPr>
        <w:t>de 2018 dos mil dieciocho el sujeto obligado</w:t>
      </w:r>
      <w:r w:rsidR="00450214" w:rsidRPr="0090693E">
        <w:rPr>
          <w:rFonts w:ascii="Arial" w:eastAsia="Times New Roman" w:hAnsi="Arial" w:cs="Arial"/>
          <w:b/>
          <w:color w:val="2E74B5" w:themeColor="accent1" w:themeShade="BF"/>
          <w:sz w:val="24"/>
          <w:szCs w:val="24"/>
          <w:lang w:eastAsia="es-MX"/>
        </w:rPr>
        <w:t xml:space="preserve"> </w:t>
      </w:r>
      <w:r w:rsidR="00450214" w:rsidRPr="0090693E">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00450214" w:rsidRPr="0090693E">
        <w:rPr>
          <w:rFonts w:ascii="Arial" w:eastAsia="Times New Roman" w:hAnsi="Arial" w:cs="Arial"/>
          <w:color w:val="2E74B5" w:themeColor="accent1" w:themeShade="BF"/>
          <w:sz w:val="24"/>
          <w:szCs w:val="24"/>
          <w:vertAlign w:val="superscript"/>
          <w:lang w:eastAsia="es-MX"/>
        </w:rPr>
        <w:footnoteReference w:id="3"/>
      </w:r>
      <w:r w:rsidR="00450214" w:rsidRPr="0090693E">
        <w:rPr>
          <w:rFonts w:ascii="Arial" w:eastAsia="Times New Roman" w:hAnsi="Arial" w:cs="Arial"/>
          <w:color w:val="2E74B5" w:themeColor="accent1" w:themeShade="BF"/>
          <w:sz w:val="24"/>
          <w:szCs w:val="24"/>
          <w:lang w:eastAsia="es-MX"/>
        </w:rPr>
        <w:t>:</w:t>
      </w:r>
    </w:p>
    <w:p w:rsidR="004054AB" w:rsidRPr="0090693E" w:rsidRDefault="004054AB" w:rsidP="0090693E">
      <w:pPr>
        <w:spacing w:after="0"/>
        <w:ind w:firstLine="709"/>
        <w:jc w:val="both"/>
        <w:rPr>
          <w:rFonts w:ascii="Arial" w:eastAsia="Times New Roman" w:hAnsi="Arial" w:cs="Arial"/>
          <w:color w:val="2E74B5" w:themeColor="accent1" w:themeShade="BF"/>
          <w:sz w:val="24"/>
          <w:szCs w:val="24"/>
          <w:lang w:eastAsia="es-MX"/>
        </w:rPr>
      </w:pPr>
    </w:p>
    <w:p w:rsidR="00450214" w:rsidRPr="0090693E" w:rsidRDefault="004054AB" w:rsidP="0090693E">
      <w:pPr>
        <w:spacing w:after="0"/>
        <w:ind w:firstLine="709"/>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noProof/>
          <w:color w:val="2E74B5" w:themeColor="accent1" w:themeShade="BF"/>
          <w:sz w:val="24"/>
          <w:szCs w:val="24"/>
          <w:lang w:eastAsia="es-MX"/>
        </w:rPr>
        <w:lastRenderedPageBreak/>
        <w:drawing>
          <wp:inline distT="0" distB="0" distL="0" distR="0">
            <wp:extent cx="5603240" cy="1791970"/>
            <wp:effectExtent l="1905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03240" cy="1791970"/>
                    </a:xfrm>
                    <a:prstGeom prst="rect">
                      <a:avLst/>
                    </a:prstGeom>
                    <a:noFill/>
                    <a:ln w="9525">
                      <a:noFill/>
                      <a:miter lim="800000"/>
                      <a:headEnd/>
                      <a:tailEnd/>
                    </a:ln>
                  </pic:spPr>
                </pic:pic>
              </a:graphicData>
            </a:graphic>
          </wp:inline>
        </w:drawing>
      </w:r>
    </w:p>
    <w:p w:rsidR="00450214" w:rsidRPr="0090693E" w:rsidRDefault="00450214" w:rsidP="0090693E">
      <w:pPr>
        <w:pStyle w:val="corte4fondo"/>
        <w:spacing w:line="276" w:lineRule="auto"/>
        <w:ind w:firstLine="0"/>
        <w:rPr>
          <w:rFonts w:cs="Arial"/>
          <w:b/>
          <w:color w:val="2E74B5" w:themeColor="accent1" w:themeShade="BF"/>
          <w:sz w:val="24"/>
          <w:szCs w:val="24"/>
        </w:rPr>
      </w:pPr>
    </w:p>
    <w:p w:rsidR="008A7335" w:rsidRPr="0090693E" w:rsidRDefault="004054AB" w:rsidP="0090693E">
      <w:pPr>
        <w:pStyle w:val="corte4fondo"/>
        <w:spacing w:line="276" w:lineRule="auto"/>
        <w:rPr>
          <w:rFonts w:cs="Arial"/>
          <w:color w:val="2E74B5" w:themeColor="accent1" w:themeShade="BF"/>
          <w:sz w:val="20"/>
        </w:rPr>
      </w:pPr>
      <w:r w:rsidRPr="0090693E">
        <w:rPr>
          <w:rFonts w:cs="Arial"/>
          <w:color w:val="2E74B5" w:themeColor="accent1" w:themeShade="BF"/>
          <w:sz w:val="24"/>
          <w:szCs w:val="24"/>
        </w:rPr>
        <w:t>“…</w:t>
      </w:r>
      <w:r w:rsidRPr="0090693E">
        <w:rPr>
          <w:rFonts w:cs="Arial"/>
          <w:color w:val="2E74B5" w:themeColor="accent1" w:themeShade="BF"/>
          <w:sz w:val="20"/>
        </w:rPr>
        <w:t>Se hace de su conocimiento que la respuesta a su solicitud de información, se enviará a la cuenta de correo electrónico (</w:t>
      </w:r>
      <w:hyperlink r:id="rId10" w:history="1">
        <w:r w:rsidR="00F162FF" w:rsidRPr="0090693E">
          <w:rPr>
            <w:rStyle w:val="Hipervnculo"/>
            <w:rFonts w:cs="Arial"/>
            <w:color w:val="2E74B5" w:themeColor="accent1" w:themeShade="BF"/>
            <w:sz w:val="20"/>
          </w:rPr>
          <w:t>aquilesbeazapregunta@gmail.com)</w:t>
        </w:r>
      </w:hyperlink>
      <w:r w:rsidRPr="0090693E">
        <w:rPr>
          <w:rFonts w:cs="Arial"/>
          <w:color w:val="2E74B5" w:themeColor="accent1" w:themeShade="BF"/>
          <w:sz w:val="20"/>
        </w:rPr>
        <w:t>...”</w:t>
      </w:r>
    </w:p>
    <w:p w:rsidR="00F162FF" w:rsidRPr="0090693E" w:rsidRDefault="00F162FF" w:rsidP="0090693E">
      <w:pPr>
        <w:pStyle w:val="corte4fondo"/>
        <w:spacing w:line="276" w:lineRule="auto"/>
        <w:rPr>
          <w:rFonts w:cs="Arial"/>
          <w:color w:val="2E74B5" w:themeColor="accent1" w:themeShade="BF"/>
          <w:sz w:val="24"/>
          <w:szCs w:val="24"/>
        </w:rPr>
      </w:pPr>
    </w:p>
    <w:p w:rsidR="009E4400" w:rsidRPr="0090693E" w:rsidRDefault="008A7335" w:rsidP="0090693E">
      <w:pPr>
        <w:pStyle w:val="corte4fondo"/>
        <w:spacing w:line="276" w:lineRule="auto"/>
        <w:ind w:firstLine="708"/>
        <w:rPr>
          <w:rFonts w:cs="Arial"/>
          <w:color w:val="2E74B5" w:themeColor="accent1" w:themeShade="BF"/>
          <w:sz w:val="24"/>
          <w:szCs w:val="24"/>
        </w:rPr>
      </w:pPr>
      <w:r w:rsidRPr="0090693E">
        <w:rPr>
          <w:rFonts w:cs="Arial"/>
          <w:b/>
          <w:color w:val="2E74B5" w:themeColor="accent1" w:themeShade="BF"/>
          <w:sz w:val="24"/>
          <w:szCs w:val="24"/>
        </w:rPr>
        <w:t>CUARTO</w:t>
      </w:r>
      <w:r w:rsidR="00450214" w:rsidRPr="0090693E">
        <w:rPr>
          <w:rFonts w:cs="Arial"/>
          <w:b/>
          <w:color w:val="2E74B5" w:themeColor="accent1" w:themeShade="BF"/>
          <w:sz w:val="24"/>
          <w:szCs w:val="24"/>
        </w:rPr>
        <w:t xml:space="preserve">. Interposición del recurso. </w:t>
      </w:r>
      <w:r w:rsidR="00450214" w:rsidRPr="0090693E">
        <w:rPr>
          <w:rFonts w:cs="Arial"/>
          <w:color w:val="2E74B5" w:themeColor="accent1" w:themeShade="BF"/>
          <w:sz w:val="24"/>
          <w:szCs w:val="24"/>
        </w:rPr>
        <w:t xml:space="preserve">el </w:t>
      </w:r>
      <w:r w:rsidR="00F162FF" w:rsidRPr="0090693E">
        <w:rPr>
          <w:rFonts w:cs="Arial"/>
          <w:color w:val="2E74B5" w:themeColor="accent1" w:themeShade="BF"/>
          <w:sz w:val="24"/>
          <w:szCs w:val="24"/>
        </w:rPr>
        <w:t>05 cinco de noviembre</w:t>
      </w:r>
      <w:r w:rsidR="009E4400" w:rsidRPr="0090693E">
        <w:rPr>
          <w:rFonts w:cs="Arial"/>
          <w:color w:val="2E74B5" w:themeColor="accent1" w:themeShade="BF"/>
          <w:sz w:val="24"/>
          <w:szCs w:val="24"/>
        </w:rPr>
        <w:t xml:space="preserve"> </w:t>
      </w:r>
      <w:r w:rsidR="00450214" w:rsidRPr="0090693E">
        <w:rPr>
          <w:rFonts w:cs="Arial"/>
          <w:color w:val="2E74B5" w:themeColor="accent1" w:themeShade="BF"/>
          <w:sz w:val="24"/>
          <w:szCs w:val="24"/>
        </w:rPr>
        <w:t>de 201</w:t>
      </w:r>
      <w:r w:rsidR="004E249A" w:rsidRPr="0090693E">
        <w:rPr>
          <w:rFonts w:cs="Arial"/>
          <w:color w:val="2E74B5" w:themeColor="accent1" w:themeShade="BF"/>
          <w:sz w:val="24"/>
          <w:szCs w:val="24"/>
        </w:rPr>
        <w:t>8 dos mil dieciocho, mediante re</w:t>
      </w:r>
      <w:r w:rsidR="00450214" w:rsidRPr="0090693E">
        <w:rPr>
          <w:rFonts w:cs="Arial"/>
          <w:color w:val="2E74B5" w:themeColor="accent1" w:themeShade="BF"/>
          <w:sz w:val="24"/>
          <w:szCs w:val="24"/>
        </w:rPr>
        <w:t>gistro RR000</w:t>
      </w:r>
      <w:r w:rsidR="009E4400" w:rsidRPr="0090693E">
        <w:rPr>
          <w:rFonts w:cs="Arial"/>
          <w:color w:val="2E74B5" w:themeColor="accent1" w:themeShade="BF"/>
          <w:sz w:val="24"/>
          <w:szCs w:val="24"/>
        </w:rPr>
        <w:t>3</w:t>
      </w:r>
      <w:r w:rsidR="00F162FF" w:rsidRPr="0090693E">
        <w:rPr>
          <w:rFonts w:cs="Arial"/>
          <w:color w:val="2E74B5" w:themeColor="accent1" w:themeShade="BF"/>
          <w:sz w:val="24"/>
          <w:szCs w:val="24"/>
        </w:rPr>
        <w:t>83</w:t>
      </w:r>
      <w:r w:rsidR="009E4400" w:rsidRPr="0090693E">
        <w:rPr>
          <w:rFonts w:cs="Arial"/>
          <w:color w:val="2E74B5" w:themeColor="accent1" w:themeShade="BF"/>
          <w:sz w:val="24"/>
          <w:szCs w:val="24"/>
        </w:rPr>
        <w:t>18</w:t>
      </w:r>
      <w:r w:rsidR="00450214" w:rsidRPr="0090693E">
        <w:rPr>
          <w:rFonts w:cs="Arial"/>
          <w:color w:val="2E74B5" w:themeColor="accent1" w:themeShade="BF"/>
          <w:sz w:val="24"/>
          <w:szCs w:val="24"/>
        </w:rPr>
        <w:t xml:space="preserve"> en la Plataforma Nacional de Transparencia, el solicitante de la información interpuso recurso de revisión por la de respuesta a su solicitud de acceso a la información pública mencionada en el punto anterior, mismo que quedó presentado ante la Oficialía de Partes de esta Comisión Estatal de Garantía de Acceso a la Información Pública el día </w:t>
      </w:r>
      <w:r w:rsidR="00F162FF" w:rsidRPr="0090693E">
        <w:rPr>
          <w:rFonts w:cs="Arial"/>
          <w:color w:val="2E74B5" w:themeColor="accent1" w:themeShade="BF"/>
          <w:sz w:val="24"/>
          <w:szCs w:val="24"/>
        </w:rPr>
        <w:t>06 seis de noviembre</w:t>
      </w:r>
      <w:r w:rsidR="009E4400" w:rsidRPr="0090693E">
        <w:rPr>
          <w:rFonts w:cs="Arial"/>
          <w:color w:val="2E74B5" w:themeColor="accent1" w:themeShade="BF"/>
          <w:sz w:val="24"/>
          <w:szCs w:val="24"/>
        </w:rPr>
        <w:t xml:space="preserve"> </w:t>
      </w:r>
      <w:r w:rsidR="00450214" w:rsidRPr="0090693E">
        <w:rPr>
          <w:rFonts w:cs="Arial"/>
          <w:color w:val="2E74B5" w:themeColor="accent1" w:themeShade="BF"/>
          <w:sz w:val="24"/>
          <w:szCs w:val="24"/>
        </w:rPr>
        <w:t xml:space="preserve">de 2018 dos mil dieciocho, </w:t>
      </w:r>
      <w:r w:rsidR="009E4400" w:rsidRPr="0090693E">
        <w:rPr>
          <w:rFonts w:cs="Arial"/>
          <w:color w:val="2E74B5" w:themeColor="accent1" w:themeShade="BF"/>
          <w:sz w:val="24"/>
          <w:szCs w:val="24"/>
        </w:rPr>
        <w:t xml:space="preserve">es decir al día hábil siguiente al que fue interpuesto, por haber sido interpuesto ante el sistema posterior a la hora establecida, ello de conformidad con el Acuerdo de Pleno S.O. CEGAIP-208/2014. </w:t>
      </w:r>
    </w:p>
    <w:p w:rsidR="008A7335" w:rsidRPr="0090693E" w:rsidRDefault="008A7335" w:rsidP="0090693E">
      <w:pPr>
        <w:spacing w:after="0"/>
        <w:ind w:firstLine="709"/>
        <w:jc w:val="both"/>
        <w:rPr>
          <w:rFonts w:ascii="Arial" w:eastAsia="Times New Roman" w:hAnsi="Arial" w:cs="Arial"/>
          <w:b/>
          <w:color w:val="2E74B5" w:themeColor="accent1" w:themeShade="BF"/>
          <w:sz w:val="24"/>
          <w:szCs w:val="24"/>
          <w:lang w:eastAsia="es-MX"/>
        </w:rPr>
      </w:pPr>
    </w:p>
    <w:p w:rsidR="00450214" w:rsidRPr="0090693E" w:rsidRDefault="008A7335" w:rsidP="0090693E">
      <w:pPr>
        <w:spacing w:after="0"/>
        <w:ind w:firstLine="709"/>
        <w:jc w:val="both"/>
        <w:rPr>
          <w:rFonts w:ascii="Arial" w:eastAsia="Times New Roman" w:hAnsi="Arial" w:cs="Arial"/>
          <w:color w:val="2E74B5" w:themeColor="accent1" w:themeShade="BF"/>
          <w:sz w:val="24"/>
          <w:szCs w:val="24"/>
          <w:lang w:eastAsia="es-MX"/>
        </w:rPr>
      </w:pPr>
      <w:r w:rsidRPr="0090693E">
        <w:rPr>
          <w:rFonts w:ascii="Arial" w:hAnsi="Arial" w:cs="Arial"/>
          <w:b/>
          <w:color w:val="2E74B5" w:themeColor="accent1" w:themeShade="BF"/>
          <w:sz w:val="24"/>
          <w:szCs w:val="24"/>
        </w:rPr>
        <w:t>QUINTO</w:t>
      </w:r>
      <w:r w:rsidR="00450214" w:rsidRPr="0090693E">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00450214" w:rsidRPr="0090693E">
        <w:rPr>
          <w:rFonts w:ascii="Arial" w:eastAsia="Times New Roman" w:hAnsi="Arial" w:cs="Arial"/>
          <w:color w:val="2E74B5" w:themeColor="accent1" w:themeShade="BF"/>
          <w:sz w:val="24"/>
          <w:szCs w:val="24"/>
          <w:lang w:eastAsia="es-MX"/>
        </w:rPr>
        <w:t xml:space="preserve">Mediante auto del </w:t>
      </w:r>
      <w:r w:rsidR="00F162FF" w:rsidRPr="0090693E">
        <w:rPr>
          <w:rFonts w:ascii="Arial" w:eastAsia="Times New Roman" w:hAnsi="Arial" w:cs="Arial"/>
          <w:color w:val="2E74B5" w:themeColor="accent1" w:themeShade="BF"/>
          <w:sz w:val="24"/>
          <w:szCs w:val="24"/>
          <w:lang w:eastAsia="es-MX"/>
        </w:rPr>
        <w:t xml:space="preserve">06 seis de noviembre </w:t>
      </w:r>
      <w:r w:rsidR="00450214" w:rsidRPr="0090693E">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8A7335"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SEXTO</w:t>
      </w:r>
      <w:r w:rsidR="00450214" w:rsidRPr="0090693E">
        <w:rPr>
          <w:rFonts w:cs="Arial"/>
          <w:b/>
          <w:color w:val="2E74B5" w:themeColor="accent1" w:themeShade="BF"/>
          <w:sz w:val="24"/>
          <w:szCs w:val="24"/>
        </w:rPr>
        <w:t xml:space="preserve">. Auto de admisión y trámite. </w:t>
      </w:r>
      <w:r w:rsidR="00450214" w:rsidRPr="0090693E">
        <w:rPr>
          <w:rFonts w:cs="Arial"/>
          <w:color w:val="2E74B5" w:themeColor="accent1" w:themeShade="BF"/>
          <w:sz w:val="24"/>
          <w:szCs w:val="24"/>
        </w:rPr>
        <w:t xml:space="preserve">Por proveído del </w:t>
      </w:r>
      <w:r w:rsidR="00F162FF" w:rsidRPr="0090693E">
        <w:rPr>
          <w:rFonts w:cs="Arial"/>
          <w:color w:val="2E74B5" w:themeColor="accent1" w:themeShade="BF"/>
          <w:sz w:val="24"/>
          <w:szCs w:val="24"/>
        </w:rPr>
        <w:t>12 doce de noviembre</w:t>
      </w:r>
      <w:r w:rsidR="009E4400" w:rsidRPr="0090693E">
        <w:rPr>
          <w:rFonts w:cs="Arial"/>
          <w:color w:val="2E74B5" w:themeColor="accent1" w:themeShade="BF"/>
          <w:sz w:val="24"/>
          <w:szCs w:val="24"/>
        </w:rPr>
        <w:t xml:space="preserve"> </w:t>
      </w:r>
      <w:r w:rsidR="00450214" w:rsidRPr="0090693E">
        <w:rPr>
          <w:rFonts w:cs="Arial"/>
          <w:color w:val="2E74B5" w:themeColor="accent1" w:themeShade="BF"/>
          <w:sz w:val="24"/>
          <w:szCs w:val="24"/>
        </w:rPr>
        <w:t>de 2018 dos mil dieciocho la Comisionado Ponente</w:t>
      </w:r>
      <w:r w:rsidR="009E4400" w:rsidRPr="0090693E">
        <w:rPr>
          <w:rFonts w:cs="Arial"/>
          <w:color w:val="2E74B5" w:themeColor="accent1" w:themeShade="BF"/>
          <w:sz w:val="24"/>
          <w:szCs w:val="24"/>
        </w:rPr>
        <w:t xml:space="preserve">, acordó la admisión del recurso de revisión por actualizarse las hipótesis establecidas en las </w:t>
      </w:r>
      <w:r w:rsidR="00E91A57" w:rsidRPr="0090693E">
        <w:rPr>
          <w:rFonts w:cs="Arial"/>
          <w:color w:val="2E74B5" w:themeColor="accent1" w:themeShade="BF"/>
          <w:sz w:val="24"/>
          <w:szCs w:val="24"/>
        </w:rPr>
        <w:t>fracciones VI</w:t>
      </w:r>
      <w:r w:rsidR="009E4400" w:rsidRPr="0090693E">
        <w:rPr>
          <w:rFonts w:cs="Arial"/>
          <w:color w:val="2E74B5" w:themeColor="accent1" w:themeShade="BF"/>
          <w:sz w:val="24"/>
          <w:szCs w:val="24"/>
        </w:rPr>
        <w:t xml:space="preserve"> </w:t>
      </w:r>
      <w:r w:rsidR="00E53F8E" w:rsidRPr="0090693E">
        <w:rPr>
          <w:rFonts w:cs="Arial"/>
          <w:color w:val="2E74B5" w:themeColor="accent1" w:themeShade="BF"/>
          <w:sz w:val="24"/>
          <w:szCs w:val="24"/>
        </w:rPr>
        <w:t xml:space="preserve">y </w:t>
      </w:r>
      <w:r w:rsidR="00F162FF" w:rsidRPr="0090693E">
        <w:rPr>
          <w:rFonts w:cs="Arial"/>
          <w:color w:val="2E74B5" w:themeColor="accent1" w:themeShade="BF"/>
          <w:sz w:val="24"/>
          <w:szCs w:val="24"/>
        </w:rPr>
        <w:t>VII</w:t>
      </w:r>
      <w:r w:rsidR="009E4400" w:rsidRPr="0090693E">
        <w:rPr>
          <w:rFonts w:cs="Arial"/>
          <w:color w:val="2E74B5" w:themeColor="accent1" w:themeShade="BF"/>
          <w:sz w:val="24"/>
          <w:szCs w:val="24"/>
        </w:rPr>
        <w:t xml:space="preserve"> del artículo 167 de la Ley de Transparencia y Acceso a la Información Pública del Estado</w:t>
      </w:r>
      <w:r w:rsidR="00E53F8E" w:rsidRPr="0090693E">
        <w:rPr>
          <w:rFonts w:cs="Arial"/>
          <w:color w:val="2E74B5" w:themeColor="accent1" w:themeShade="BF"/>
          <w:sz w:val="24"/>
          <w:szCs w:val="24"/>
        </w:rPr>
        <w:t>, de la misma manera</w:t>
      </w:r>
      <w:r w:rsidR="00450214" w:rsidRPr="0090693E">
        <w:rPr>
          <w:rFonts w:cs="Arial"/>
          <w:color w:val="2E74B5" w:themeColor="accent1" w:themeShade="BF"/>
          <w:sz w:val="24"/>
          <w:szCs w:val="24"/>
        </w:rPr>
        <w:t>:</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numPr>
          <w:ilvl w:val="0"/>
          <w:numId w:val="2"/>
        </w:numPr>
        <w:spacing w:line="276" w:lineRule="auto"/>
        <w:rPr>
          <w:rFonts w:cs="Arial"/>
          <w:color w:val="2E74B5" w:themeColor="accent1" w:themeShade="BF"/>
          <w:sz w:val="24"/>
          <w:szCs w:val="24"/>
        </w:rPr>
      </w:pPr>
      <w:r w:rsidRPr="0090693E">
        <w:rPr>
          <w:rFonts w:cs="Arial"/>
          <w:color w:val="2E74B5" w:themeColor="accent1" w:themeShade="BF"/>
          <w:sz w:val="24"/>
          <w:szCs w:val="24"/>
        </w:rPr>
        <w:t>Registró en el Libro de Gobierno el</w:t>
      </w:r>
      <w:r w:rsidR="00F162FF" w:rsidRPr="0090693E">
        <w:rPr>
          <w:rFonts w:cs="Arial"/>
          <w:color w:val="2E74B5" w:themeColor="accent1" w:themeShade="BF"/>
          <w:sz w:val="24"/>
          <w:szCs w:val="24"/>
        </w:rPr>
        <w:t xml:space="preserve"> presente expediente como RR-884</w:t>
      </w:r>
      <w:r w:rsidRPr="0090693E">
        <w:rPr>
          <w:rFonts w:cs="Arial"/>
          <w:color w:val="2E74B5" w:themeColor="accent1" w:themeShade="BF"/>
          <w:sz w:val="24"/>
          <w:szCs w:val="24"/>
        </w:rPr>
        <w:t>/2018-2 PLATAFORMA.</w:t>
      </w:r>
    </w:p>
    <w:p w:rsidR="00450214" w:rsidRPr="0090693E" w:rsidRDefault="00450214" w:rsidP="0090693E">
      <w:pPr>
        <w:pStyle w:val="corte4fondo"/>
        <w:numPr>
          <w:ilvl w:val="0"/>
          <w:numId w:val="2"/>
        </w:numPr>
        <w:spacing w:line="276" w:lineRule="auto"/>
        <w:rPr>
          <w:rFonts w:cs="Arial"/>
          <w:color w:val="2E74B5" w:themeColor="accent1" w:themeShade="BF"/>
          <w:sz w:val="24"/>
          <w:szCs w:val="24"/>
        </w:rPr>
      </w:pPr>
      <w:r w:rsidRPr="0090693E">
        <w:rPr>
          <w:rFonts w:cs="Arial"/>
          <w:color w:val="2E74B5" w:themeColor="accent1" w:themeShade="BF"/>
          <w:sz w:val="24"/>
          <w:szCs w:val="24"/>
        </w:rPr>
        <w:t>Admitió a trámite el presente recurso de revisión.</w:t>
      </w:r>
    </w:p>
    <w:p w:rsidR="00450214" w:rsidRPr="0090693E" w:rsidRDefault="00450214" w:rsidP="0090693E">
      <w:pPr>
        <w:pStyle w:val="corte4fondo"/>
        <w:numPr>
          <w:ilvl w:val="0"/>
          <w:numId w:val="2"/>
        </w:numPr>
        <w:spacing w:line="276" w:lineRule="auto"/>
        <w:rPr>
          <w:rFonts w:cs="Arial"/>
          <w:b/>
          <w:color w:val="2E74B5" w:themeColor="accent1" w:themeShade="BF"/>
          <w:sz w:val="24"/>
          <w:szCs w:val="24"/>
        </w:rPr>
      </w:pPr>
      <w:r w:rsidRPr="0090693E">
        <w:rPr>
          <w:rFonts w:cs="Arial"/>
          <w:color w:val="2E74B5" w:themeColor="accent1" w:themeShade="BF"/>
          <w:sz w:val="24"/>
          <w:szCs w:val="24"/>
        </w:rPr>
        <w:t>Tuvo como sujeto obligado al</w:t>
      </w:r>
      <w:r w:rsidRPr="0090693E">
        <w:rPr>
          <w:rFonts w:cs="Arial"/>
          <w:b/>
          <w:color w:val="2E74B5" w:themeColor="accent1" w:themeShade="BF"/>
          <w:sz w:val="24"/>
          <w:szCs w:val="24"/>
        </w:rPr>
        <w:t xml:space="preserve"> SUPREMO TRIBUNAL DE JUSTICIA EN EL ESTADO POR CONDUCTO DEL CONSEJO DE LA JUDICATURA DEL PODER JUDICIAL DEL ESTADO, A TRAVÉS DE SU PRESIDENTE Y DEL TITULAR DE LA UNIDAD DE TRANSPARENCIA</w:t>
      </w:r>
      <w:r w:rsidRPr="0090693E">
        <w:rPr>
          <w:rFonts w:cs="Arial"/>
          <w:color w:val="2E74B5" w:themeColor="accent1" w:themeShade="BF"/>
          <w:sz w:val="24"/>
          <w:szCs w:val="24"/>
        </w:rPr>
        <w:t>.</w:t>
      </w:r>
    </w:p>
    <w:p w:rsidR="00450214" w:rsidRPr="0090693E" w:rsidRDefault="00450214" w:rsidP="0090693E">
      <w:pPr>
        <w:pStyle w:val="corte4fondo"/>
        <w:numPr>
          <w:ilvl w:val="0"/>
          <w:numId w:val="2"/>
        </w:numPr>
        <w:spacing w:line="276" w:lineRule="auto"/>
        <w:rPr>
          <w:rFonts w:cs="Arial"/>
          <w:color w:val="2E74B5" w:themeColor="accent1" w:themeShade="BF"/>
          <w:sz w:val="24"/>
          <w:szCs w:val="24"/>
        </w:rPr>
      </w:pPr>
      <w:r w:rsidRPr="0090693E">
        <w:rPr>
          <w:rFonts w:cs="Arial"/>
          <w:color w:val="2E74B5" w:themeColor="accent1" w:themeShade="BF"/>
          <w:sz w:val="24"/>
          <w:szCs w:val="24"/>
        </w:rPr>
        <w:t>Se le tuvo al recurrente por señalada dirección electrónica para oír notificaciones.</w:t>
      </w:r>
    </w:p>
    <w:p w:rsidR="00450214" w:rsidRPr="0090693E" w:rsidRDefault="00450214" w:rsidP="0090693E">
      <w:pPr>
        <w:pStyle w:val="corte4fondo"/>
        <w:numPr>
          <w:ilvl w:val="0"/>
          <w:numId w:val="2"/>
        </w:numPr>
        <w:spacing w:line="276" w:lineRule="auto"/>
        <w:rPr>
          <w:rFonts w:cs="Arial"/>
          <w:color w:val="2E74B5" w:themeColor="accent1" w:themeShade="BF"/>
          <w:sz w:val="24"/>
          <w:szCs w:val="24"/>
        </w:rPr>
      </w:pPr>
      <w:r w:rsidRPr="0090693E">
        <w:rPr>
          <w:rFonts w:cs="Arial"/>
          <w:color w:val="2E74B5" w:themeColor="accent1" w:themeShade="BF"/>
          <w:sz w:val="24"/>
          <w:szCs w:val="24"/>
        </w:rPr>
        <w:lastRenderedPageBreak/>
        <w:t xml:space="preserve">Se puso a disposición de las partes el expediente para que en un plazo máximo de 7 siete días manifestaran lo que a su derecho conviniera –ofrecer pruebas y alegar–.  </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color w:val="2E74B5" w:themeColor="accent1" w:themeShade="BF"/>
          <w:sz w:val="24"/>
          <w:szCs w:val="24"/>
        </w:rPr>
        <w:t>Asimismo, en ese auto la ponente expresó que el sujeto obligado debería informar a esta Comisión de Transparencia si la información que le fue solicitada:</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numPr>
          <w:ilvl w:val="0"/>
          <w:numId w:val="1"/>
        </w:numPr>
        <w:spacing w:line="276" w:lineRule="auto"/>
        <w:rPr>
          <w:rFonts w:cs="Arial"/>
          <w:color w:val="2E74B5" w:themeColor="accent1" w:themeShade="BF"/>
          <w:sz w:val="24"/>
          <w:szCs w:val="24"/>
        </w:rPr>
      </w:pPr>
      <w:r w:rsidRPr="0090693E">
        <w:rPr>
          <w:rFonts w:cs="Arial"/>
          <w:color w:val="2E74B5" w:themeColor="accent1" w:themeShade="BF"/>
          <w:sz w:val="24"/>
          <w:szCs w:val="24"/>
        </w:rPr>
        <w:t>Se encontraba en sus archivos.</w:t>
      </w:r>
    </w:p>
    <w:p w:rsidR="00450214" w:rsidRPr="0090693E" w:rsidRDefault="00450214" w:rsidP="0090693E">
      <w:pPr>
        <w:pStyle w:val="corte4fondo"/>
        <w:numPr>
          <w:ilvl w:val="0"/>
          <w:numId w:val="1"/>
        </w:numPr>
        <w:spacing w:line="276" w:lineRule="auto"/>
        <w:rPr>
          <w:rFonts w:cs="Arial"/>
          <w:color w:val="2E74B5" w:themeColor="accent1" w:themeShade="BF"/>
          <w:sz w:val="24"/>
          <w:szCs w:val="24"/>
        </w:rPr>
      </w:pPr>
      <w:r w:rsidRPr="0090693E">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450214" w:rsidRPr="0090693E" w:rsidRDefault="00450214" w:rsidP="0090693E">
      <w:pPr>
        <w:pStyle w:val="corte4fondo"/>
        <w:numPr>
          <w:ilvl w:val="0"/>
          <w:numId w:val="1"/>
        </w:numPr>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Se encontraba en una de las excepciones del derecho de acceso a la información como impedimento legal para su entrega –cuando se trate de información reservada o confidencial–. </w:t>
      </w:r>
    </w:p>
    <w:p w:rsidR="00450214" w:rsidRPr="0090693E" w:rsidRDefault="00450214" w:rsidP="0090693E">
      <w:pPr>
        <w:pStyle w:val="Prrafodelista"/>
        <w:numPr>
          <w:ilvl w:val="0"/>
          <w:numId w:val="1"/>
        </w:numPr>
        <w:spacing w:line="276" w:lineRule="auto"/>
        <w:rPr>
          <w:rFonts w:ascii="Arial" w:hAnsi="Arial" w:cs="Arial"/>
          <w:color w:val="2E74B5" w:themeColor="accent1" w:themeShade="BF"/>
          <w:sz w:val="24"/>
          <w:lang w:eastAsia="es-MX"/>
        </w:rPr>
      </w:pPr>
      <w:r w:rsidRPr="0090693E">
        <w:rPr>
          <w:rFonts w:ascii="Arial" w:hAnsi="Arial" w:cs="Arial"/>
          <w:color w:val="2E74B5" w:themeColor="accent1" w:themeShade="BF"/>
          <w:sz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8A7335" w:rsidP="0090693E">
      <w:pPr>
        <w:pStyle w:val="corte4fondo"/>
        <w:spacing w:line="276" w:lineRule="auto"/>
        <w:ind w:firstLine="567"/>
        <w:rPr>
          <w:rFonts w:cs="Arial"/>
          <w:b/>
          <w:color w:val="2E74B5" w:themeColor="accent1" w:themeShade="BF"/>
          <w:sz w:val="24"/>
          <w:szCs w:val="24"/>
        </w:rPr>
      </w:pPr>
      <w:r w:rsidRPr="0090693E">
        <w:rPr>
          <w:rFonts w:cs="Arial"/>
          <w:b/>
          <w:color w:val="2E74B5" w:themeColor="accent1" w:themeShade="BF"/>
          <w:sz w:val="24"/>
          <w:szCs w:val="24"/>
        </w:rPr>
        <w:t>SÉPTIMO</w:t>
      </w:r>
      <w:r w:rsidR="00450214" w:rsidRPr="0090693E">
        <w:rPr>
          <w:rFonts w:cs="Arial"/>
          <w:b/>
          <w:color w:val="2E74B5" w:themeColor="accent1" w:themeShade="BF"/>
          <w:sz w:val="24"/>
          <w:szCs w:val="24"/>
        </w:rPr>
        <w:t>. Informe de los sujetos obligados</w:t>
      </w:r>
      <w:r w:rsidR="00450214" w:rsidRPr="0090693E">
        <w:rPr>
          <w:rFonts w:cs="Arial"/>
          <w:color w:val="2E74B5" w:themeColor="accent1" w:themeShade="BF"/>
          <w:sz w:val="24"/>
          <w:szCs w:val="24"/>
        </w:rPr>
        <w:t xml:space="preserve">. Por proveído del </w:t>
      </w:r>
      <w:r w:rsidR="001D6BC3" w:rsidRPr="0090693E">
        <w:rPr>
          <w:rFonts w:cs="Arial"/>
          <w:color w:val="2E74B5" w:themeColor="accent1" w:themeShade="BF"/>
          <w:sz w:val="24"/>
          <w:szCs w:val="24"/>
        </w:rPr>
        <w:t xml:space="preserve">05 cinco de </w:t>
      </w:r>
      <w:r w:rsidR="00494D35" w:rsidRPr="0090693E">
        <w:rPr>
          <w:rFonts w:cs="Arial"/>
          <w:color w:val="2E74B5" w:themeColor="accent1" w:themeShade="BF"/>
          <w:sz w:val="24"/>
          <w:szCs w:val="24"/>
        </w:rPr>
        <w:t>diciembre</w:t>
      </w:r>
      <w:r w:rsidR="001D6BC3" w:rsidRPr="0090693E">
        <w:rPr>
          <w:rFonts w:cs="Arial"/>
          <w:color w:val="2E74B5" w:themeColor="accent1" w:themeShade="BF"/>
          <w:sz w:val="24"/>
          <w:szCs w:val="24"/>
        </w:rPr>
        <w:t xml:space="preserve"> </w:t>
      </w:r>
      <w:r w:rsidR="00450214" w:rsidRPr="0090693E">
        <w:rPr>
          <w:rFonts w:cs="Arial"/>
          <w:color w:val="2E74B5" w:themeColor="accent1" w:themeShade="BF"/>
          <w:sz w:val="24"/>
          <w:szCs w:val="24"/>
        </w:rPr>
        <w:t>de 2018 dos mil dieciocho la ponente del presente asunto tuvo:</w:t>
      </w:r>
    </w:p>
    <w:p w:rsidR="00450214" w:rsidRPr="0090693E" w:rsidRDefault="00450214" w:rsidP="0090693E">
      <w:pPr>
        <w:pStyle w:val="corte4fondo"/>
        <w:spacing w:line="276" w:lineRule="auto"/>
        <w:ind w:left="709" w:firstLine="0"/>
        <w:rPr>
          <w:rFonts w:cs="Arial"/>
          <w:color w:val="2E74B5" w:themeColor="accent1" w:themeShade="BF"/>
          <w:sz w:val="24"/>
          <w:szCs w:val="24"/>
        </w:rPr>
      </w:pPr>
    </w:p>
    <w:p w:rsidR="00450214" w:rsidRPr="0090693E" w:rsidRDefault="00450214" w:rsidP="0090693E">
      <w:pPr>
        <w:pStyle w:val="corte4fondo"/>
        <w:numPr>
          <w:ilvl w:val="0"/>
          <w:numId w:val="4"/>
        </w:numPr>
        <w:spacing w:line="276" w:lineRule="auto"/>
        <w:rPr>
          <w:rFonts w:cs="Arial"/>
          <w:color w:val="2E74B5" w:themeColor="accent1" w:themeShade="BF"/>
          <w:sz w:val="24"/>
          <w:szCs w:val="24"/>
        </w:rPr>
      </w:pPr>
      <w:r w:rsidRPr="0090693E">
        <w:rPr>
          <w:rFonts w:cs="Arial"/>
          <w:color w:val="2E74B5" w:themeColor="accent1" w:themeShade="BF"/>
          <w:sz w:val="24"/>
          <w:szCs w:val="24"/>
        </w:rPr>
        <w:t>Por recibidos dos oficios UIP/</w:t>
      </w:r>
      <w:r w:rsidR="006D329C" w:rsidRPr="0090693E">
        <w:rPr>
          <w:rFonts w:cs="Arial"/>
          <w:color w:val="2E74B5" w:themeColor="accent1" w:themeShade="BF"/>
          <w:sz w:val="24"/>
          <w:szCs w:val="24"/>
        </w:rPr>
        <w:t>7</w:t>
      </w:r>
      <w:r w:rsidR="00494D35" w:rsidRPr="0090693E">
        <w:rPr>
          <w:rFonts w:cs="Arial"/>
          <w:color w:val="2E74B5" w:themeColor="accent1" w:themeShade="BF"/>
          <w:sz w:val="24"/>
          <w:szCs w:val="24"/>
        </w:rPr>
        <w:t>92</w:t>
      </w:r>
      <w:r w:rsidRPr="0090693E">
        <w:rPr>
          <w:rFonts w:cs="Arial"/>
          <w:color w:val="2E74B5" w:themeColor="accent1" w:themeShade="BF"/>
          <w:sz w:val="24"/>
          <w:szCs w:val="24"/>
        </w:rPr>
        <w:t>/2018 y UIP/</w:t>
      </w:r>
      <w:r w:rsidR="006D329C" w:rsidRPr="0090693E">
        <w:rPr>
          <w:rFonts w:cs="Arial"/>
          <w:color w:val="2E74B5" w:themeColor="accent1" w:themeShade="BF"/>
          <w:sz w:val="24"/>
          <w:szCs w:val="24"/>
        </w:rPr>
        <w:t>79</w:t>
      </w:r>
      <w:r w:rsidR="00494D35" w:rsidRPr="0090693E">
        <w:rPr>
          <w:rFonts w:cs="Arial"/>
          <w:color w:val="2E74B5" w:themeColor="accent1" w:themeShade="BF"/>
          <w:sz w:val="24"/>
          <w:szCs w:val="24"/>
        </w:rPr>
        <w:t>1</w:t>
      </w:r>
      <w:r w:rsidRPr="0090693E">
        <w:rPr>
          <w:rFonts w:cs="Arial"/>
          <w:color w:val="2E74B5" w:themeColor="accent1" w:themeShade="BF"/>
          <w:sz w:val="24"/>
          <w:szCs w:val="24"/>
        </w:rPr>
        <w:t xml:space="preserve">/2018, firmados por el </w:t>
      </w:r>
      <w:r w:rsidRPr="0090693E">
        <w:rPr>
          <w:rFonts w:cs="Arial"/>
          <w:b/>
          <w:color w:val="2E74B5" w:themeColor="accent1" w:themeShade="BF"/>
          <w:sz w:val="24"/>
          <w:szCs w:val="24"/>
        </w:rPr>
        <w:t>PRESIDENTE DEL SUPREMO TRIBUNAL DE JUSTICIA Y CONSEJO DE LA JUDICATURA DEL PODER JUDICIAL DEL ESTADO y por el DIRECTOR DE LA UNIDAD DE TRANSPARENCIA</w:t>
      </w:r>
      <w:r w:rsidRPr="0090693E">
        <w:rPr>
          <w:rFonts w:cs="Arial"/>
          <w:color w:val="2E74B5" w:themeColor="accent1" w:themeShade="BF"/>
          <w:sz w:val="24"/>
          <w:szCs w:val="24"/>
        </w:rPr>
        <w:t>.</w:t>
      </w:r>
    </w:p>
    <w:p w:rsidR="00450214" w:rsidRPr="0090693E" w:rsidRDefault="00450214" w:rsidP="0090693E">
      <w:pPr>
        <w:pStyle w:val="corte4fondo"/>
        <w:numPr>
          <w:ilvl w:val="0"/>
          <w:numId w:val="4"/>
        </w:numPr>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Por reconocida su personalidad. </w:t>
      </w:r>
    </w:p>
    <w:p w:rsidR="00450214" w:rsidRPr="0090693E" w:rsidRDefault="00450214" w:rsidP="0090693E">
      <w:pPr>
        <w:pStyle w:val="corte4fondo"/>
        <w:numPr>
          <w:ilvl w:val="0"/>
          <w:numId w:val="4"/>
        </w:numPr>
        <w:spacing w:line="276" w:lineRule="auto"/>
        <w:rPr>
          <w:rFonts w:cs="Arial"/>
          <w:color w:val="2E74B5" w:themeColor="accent1" w:themeShade="BF"/>
          <w:sz w:val="24"/>
          <w:szCs w:val="24"/>
        </w:rPr>
      </w:pPr>
      <w:r w:rsidRPr="0090693E">
        <w:rPr>
          <w:rFonts w:cs="Arial"/>
          <w:color w:val="2E74B5" w:themeColor="accent1" w:themeShade="BF"/>
          <w:sz w:val="24"/>
          <w:szCs w:val="24"/>
        </w:rPr>
        <w:t>Por rendido en tiempo y forma el informe solicitado.</w:t>
      </w:r>
    </w:p>
    <w:p w:rsidR="00450214" w:rsidRPr="0090693E" w:rsidRDefault="00450214" w:rsidP="0090693E">
      <w:pPr>
        <w:pStyle w:val="corte4fondo"/>
        <w:numPr>
          <w:ilvl w:val="0"/>
          <w:numId w:val="4"/>
        </w:numPr>
        <w:spacing w:line="276" w:lineRule="auto"/>
        <w:rPr>
          <w:rFonts w:cs="Arial"/>
          <w:color w:val="2E74B5" w:themeColor="accent1" w:themeShade="BF"/>
          <w:sz w:val="24"/>
          <w:szCs w:val="24"/>
        </w:rPr>
      </w:pPr>
      <w:r w:rsidRPr="0090693E">
        <w:rPr>
          <w:rFonts w:cs="Arial"/>
          <w:color w:val="2E74B5" w:themeColor="accent1" w:themeShade="BF"/>
          <w:sz w:val="24"/>
          <w:szCs w:val="24"/>
        </w:rPr>
        <w:t>Por expresados los argumentos relacionados con el presente asunto.</w:t>
      </w:r>
    </w:p>
    <w:p w:rsidR="00450214" w:rsidRPr="0090693E" w:rsidRDefault="00450214" w:rsidP="0090693E">
      <w:pPr>
        <w:pStyle w:val="corte4fondo"/>
        <w:numPr>
          <w:ilvl w:val="0"/>
          <w:numId w:val="4"/>
        </w:numPr>
        <w:spacing w:line="276" w:lineRule="auto"/>
        <w:rPr>
          <w:rFonts w:cs="Arial"/>
          <w:color w:val="2E74B5" w:themeColor="accent1" w:themeShade="BF"/>
          <w:sz w:val="24"/>
          <w:szCs w:val="24"/>
        </w:rPr>
      </w:pPr>
      <w:r w:rsidRPr="0090693E">
        <w:rPr>
          <w:rFonts w:cs="Arial"/>
          <w:color w:val="2E74B5" w:themeColor="accent1" w:themeShade="BF"/>
          <w:sz w:val="24"/>
          <w:szCs w:val="24"/>
        </w:rPr>
        <w:t>Por señalando domicilio y profesionistas para oír y recibir notificaciones.</w:t>
      </w:r>
    </w:p>
    <w:p w:rsidR="00450214" w:rsidRPr="0090693E" w:rsidRDefault="00450214" w:rsidP="0090693E">
      <w:pPr>
        <w:pStyle w:val="corte4fondo"/>
        <w:spacing w:line="276" w:lineRule="auto"/>
        <w:ind w:left="1510" w:firstLine="0"/>
        <w:rPr>
          <w:rFonts w:cs="Arial"/>
          <w:color w:val="2E74B5" w:themeColor="accent1" w:themeShade="BF"/>
          <w:sz w:val="24"/>
          <w:szCs w:val="24"/>
        </w:rPr>
      </w:pPr>
    </w:p>
    <w:p w:rsidR="00450214" w:rsidRPr="0090693E" w:rsidRDefault="00450214" w:rsidP="0090693E">
      <w:pPr>
        <w:pStyle w:val="corte4fondo"/>
        <w:tabs>
          <w:tab w:val="left" w:pos="0"/>
        </w:tabs>
        <w:spacing w:line="276" w:lineRule="auto"/>
        <w:ind w:firstLine="0"/>
        <w:rPr>
          <w:rFonts w:cs="Arial"/>
          <w:color w:val="2E74B5" w:themeColor="accent1" w:themeShade="BF"/>
          <w:sz w:val="24"/>
          <w:szCs w:val="24"/>
        </w:rPr>
      </w:pPr>
      <w:r w:rsidRPr="0090693E">
        <w:rPr>
          <w:rFonts w:cs="Arial"/>
          <w:color w:val="2E74B5" w:themeColor="accent1" w:themeShade="BF"/>
          <w:sz w:val="24"/>
          <w:szCs w:val="24"/>
        </w:rPr>
        <w:tab/>
        <w:t>Respecto de la parte recurrente, se advirtió que no compareció a realizar las manifestaciones que a su derecho conviniera – ofrecer pruebas y alegar.</w:t>
      </w:r>
    </w:p>
    <w:p w:rsidR="00450214" w:rsidRPr="0090693E" w:rsidRDefault="00450214" w:rsidP="0090693E">
      <w:pPr>
        <w:pStyle w:val="corte4fondo"/>
        <w:spacing w:line="276" w:lineRule="auto"/>
        <w:ind w:firstLine="0"/>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color w:val="2E74B5" w:themeColor="accent1" w:themeShade="BF"/>
          <w:sz w:val="24"/>
          <w:szCs w:val="24"/>
        </w:rPr>
        <w:t>Para concluir, la ponente declaró cerrado el periodo de instrucción y procedió a elaborar el proyecto de resolución respectivo.</w:t>
      </w:r>
    </w:p>
    <w:p w:rsidR="00450214" w:rsidRPr="0090693E" w:rsidRDefault="00450214" w:rsidP="0090693E">
      <w:pPr>
        <w:spacing w:after="0"/>
        <w:ind w:firstLine="709"/>
        <w:jc w:val="both"/>
        <w:rPr>
          <w:rFonts w:ascii="Arial" w:eastAsia="Times New Roman" w:hAnsi="Arial" w:cs="Arial"/>
          <w:color w:val="2E74B5" w:themeColor="accent1" w:themeShade="BF"/>
          <w:sz w:val="24"/>
          <w:szCs w:val="24"/>
          <w:lang w:eastAsia="es-MX"/>
        </w:rPr>
      </w:pPr>
    </w:p>
    <w:p w:rsidR="00450214" w:rsidRPr="0090693E" w:rsidRDefault="00450214" w:rsidP="0090693E">
      <w:pPr>
        <w:pStyle w:val="corte4fondo"/>
        <w:spacing w:line="276" w:lineRule="auto"/>
        <w:jc w:val="center"/>
        <w:rPr>
          <w:rFonts w:cs="Arial"/>
          <w:b/>
          <w:color w:val="2E74B5" w:themeColor="accent1" w:themeShade="BF"/>
          <w:sz w:val="24"/>
          <w:szCs w:val="24"/>
        </w:rPr>
      </w:pPr>
      <w:r w:rsidRPr="0090693E">
        <w:rPr>
          <w:rFonts w:cs="Arial"/>
          <w:b/>
          <w:color w:val="2E74B5" w:themeColor="accent1" w:themeShade="BF"/>
          <w:sz w:val="24"/>
          <w:szCs w:val="24"/>
        </w:rPr>
        <w:t>CONSIDERANDO</w:t>
      </w:r>
    </w:p>
    <w:p w:rsidR="00450214" w:rsidRPr="0090693E" w:rsidRDefault="00450214" w:rsidP="0090693E">
      <w:pPr>
        <w:pStyle w:val="corte4fondo"/>
        <w:spacing w:line="276" w:lineRule="auto"/>
        <w:jc w:val="center"/>
        <w:rPr>
          <w:rFonts w:cs="Arial"/>
          <w:b/>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lastRenderedPageBreak/>
        <w:t xml:space="preserve">PRIMERO. Competencia. </w:t>
      </w:r>
      <w:r w:rsidRPr="0090693E">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 xml:space="preserve">SEGUNDO. Procedencia. </w:t>
      </w:r>
      <w:r w:rsidRPr="0090693E">
        <w:rPr>
          <w:rFonts w:cs="Arial"/>
          <w:color w:val="2E74B5" w:themeColor="accent1" w:themeShade="BF"/>
          <w:sz w:val="24"/>
          <w:szCs w:val="24"/>
        </w:rPr>
        <w:t>El presente recurso de revisión es procedente en términos del artículo 166 de la Ley de Transparencia y Acceso a la Información Pública del Estado ya que la recurrente se inconforma por respuesta</w:t>
      </w:r>
      <w:r w:rsidR="006D329C" w:rsidRPr="0090693E">
        <w:rPr>
          <w:rFonts w:cs="Arial"/>
          <w:color w:val="2E74B5" w:themeColor="accent1" w:themeShade="BF"/>
          <w:sz w:val="24"/>
          <w:szCs w:val="24"/>
        </w:rPr>
        <w:t xml:space="preserve"> recaída</w:t>
      </w:r>
      <w:r w:rsidRPr="0090693E">
        <w:rPr>
          <w:rFonts w:cs="Arial"/>
          <w:color w:val="2E74B5" w:themeColor="accent1" w:themeShade="BF"/>
          <w:sz w:val="24"/>
          <w:szCs w:val="24"/>
        </w:rPr>
        <w:t xml:space="preserve"> a su solicitud de acceso a la información pública por parte del sujeto obligado. </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TERCERO. Oportunidad del recurso</w:t>
      </w:r>
      <w:r w:rsidRPr="0090693E">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numPr>
          <w:ilvl w:val="0"/>
          <w:numId w:val="3"/>
        </w:numPr>
        <w:spacing w:after="0"/>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color w:val="2E74B5" w:themeColor="accent1" w:themeShade="BF"/>
          <w:sz w:val="24"/>
          <w:szCs w:val="24"/>
          <w:lang w:eastAsia="es-MX"/>
        </w:rPr>
        <w:t xml:space="preserve">El </w:t>
      </w:r>
      <w:r w:rsidR="00F274D0" w:rsidRPr="0090693E">
        <w:rPr>
          <w:rFonts w:ascii="Arial" w:eastAsia="Times New Roman" w:hAnsi="Arial" w:cs="Arial"/>
          <w:color w:val="2E74B5" w:themeColor="accent1" w:themeShade="BF"/>
          <w:sz w:val="24"/>
          <w:szCs w:val="24"/>
          <w:lang w:eastAsia="es-MX"/>
        </w:rPr>
        <w:t>05 cinco de noviembre</w:t>
      </w:r>
      <w:r w:rsidR="006D329C" w:rsidRPr="0090693E">
        <w:rPr>
          <w:rFonts w:ascii="Arial" w:eastAsia="Times New Roman" w:hAnsi="Arial" w:cs="Arial"/>
          <w:color w:val="2E74B5" w:themeColor="accent1" w:themeShade="BF"/>
          <w:sz w:val="24"/>
          <w:szCs w:val="24"/>
          <w:lang w:eastAsia="es-MX"/>
        </w:rPr>
        <w:t xml:space="preserve"> </w:t>
      </w:r>
      <w:r w:rsidRPr="0090693E">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450214" w:rsidRPr="0090693E" w:rsidRDefault="00450214" w:rsidP="0090693E">
      <w:pPr>
        <w:numPr>
          <w:ilvl w:val="0"/>
          <w:numId w:val="3"/>
        </w:numPr>
        <w:spacing w:after="0"/>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F274D0" w:rsidRPr="0090693E">
        <w:rPr>
          <w:rFonts w:ascii="Arial" w:eastAsia="Times New Roman" w:hAnsi="Arial" w:cs="Arial"/>
          <w:color w:val="2E74B5" w:themeColor="accent1" w:themeShade="BF"/>
          <w:sz w:val="24"/>
          <w:szCs w:val="24"/>
          <w:lang w:eastAsia="es-MX"/>
        </w:rPr>
        <w:t>06 seis a</w:t>
      </w:r>
      <w:r w:rsidRPr="0090693E">
        <w:rPr>
          <w:rFonts w:ascii="Arial" w:eastAsia="Times New Roman" w:hAnsi="Arial" w:cs="Arial"/>
          <w:color w:val="2E74B5" w:themeColor="accent1" w:themeShade="BF"/>
          <w:sz w:val="24"/>
          <w:szCs w:val="24"/>
          <w:lang w:eastAsia="es-MX"/>
        </w:rPr>
        <w:t xml:space="preserve">l </w:t>
      </w:r>
      <w:r w:rsidR="00E91A57">
        <w:rPr>
          <w:rFonts w:ascii="Arial" w:eastAsia="Times New Roman" w:hAnsi="Arial" w:cs="Arial"/>
          <w:color w:val="2E74B5" w:themeColor="accent1" w:themeShade="BF"/>
          <w:sz w:val="24"/>
          <w:szCs w:val="24"/>
          <w:lang w:eastAsia="es-MX"/>
        </w:rPr>
        <w:t xml:space="preserve">27 veintisiete </w:t>
      </w:r>
      <w:r w:rsidR="00F274D0" w:rsidRPr="0090693E">
        <w:rPr>
          <w:rFonts w:ascii="Arial" w:eastAsia="Times New Roman" w:hAnsi="Arial" w:cs="Arial"/>
          <w:color w:val="2E74B5" w:themeColor="accent1" w:themeShade="BF"/>
          <w:sz w:val="24"/>
          <w:szCs w:val="24"/>
          <w:lang w:eastAsia="es-MX"/>
        </w:rPr>
        <w:t>de noviembre</w:t>
      </w:r>
      <w:r w:rsidR="006D329C" w:rsidRPr="0090693E">
        <w:rPr>
          <w:rFonts w:ascii="Arial" w:eastAsia="Times New Roman" w:hAnsi="Arial" w:cs="Arial"/>
          <w:color w:val="2E74B5" w:themeColor="accent1" w:themeShade="BF"/>
          <w:sz w:val="24"/>
          <w:szCs w:val="24"/>
          <w:lang w:eastAsia="es-MX"/>
        </w:rPr>
        <w:t xml:space="preserve"> </w:t>
      </w:r>
      <w:r w:rsidR="00E91A57">
        <w:rPr>
          <w:rFonts w:ascii="Arial" w:eastAsia="Times New Roman" w:hAnsi="Arial" w:cs="Arial"/>
          <w:color w:val="2E74B5" w:themeColor="accent1" w:themeShade="BF"/>
          <w:sz w:val="24"/>
          <w:szCs w:val="24"/>
          <w:lang w:eastAsia="es-MX"/>
        </w:rPr>
        <w:t>del referido año</w:t>
      </w:r>
      <w:r w:rsidRPr="0090693E">
        <w:rPr>
          <w:rFonts w:ascii="Arial" w:eastAsia="Times New Roman" w:hAnsi="Arial" w:cs="Arial"/>
          <w:color w:val="2E74B5" w:themeColor="accent1" w:themeShade="BF"/>
          <w:sz w:val="24"/>
          <w:szCs w:val="24"/>
          <w:lang w:eastAsia="es-MX"/>
        </w:rPr>
        <w:t xml:space="preserve">. </w:t>
      </w:r>
    </w:p>
    <w:p w:rsidR="00450214" w:rsidRPr="0090693E" w:rsidRDefault="00450214" w:rsidP="0090693E">
      <w:pPr>
        <w:numPr>
          <w:ilvl w:val="0"/>
          <w:numId w:val="3"/>
        </w:numPr>
        <w:spacing w:after="0"/>
        <w:jc w:val="both"/>
        <w:rPr>
          <w:rFonts w:ascii="Arial" w:hAnsi="Arial" w:cs="Arial"/>
          <w:color w:val="2E74B5" w:themeColor="accent1" w:themeShade="BF"/>
          <w:sz w:val="24"/>
          <w:szCs w:val="24"/>
        </w:rPr>
      </w:pPr>
      <w:r w:rsidRPr="0090693E">
        <w:rPr>
          <w:rFonts w:ascii="Arial" w:eastAsia="Times New Roman" w:hAnsi="Arial" w:cs="Arial"/>
          <w:color w:val="2E74B5" w:themeColor="accent1" w:themeShade="BF"/>
          <w:sz w:val="24"/>
          <w:szCs w:val="24"/>
          <w:lang w:eastAsia="es-MX"/>
        </w:rPr>
        <w:t>Se deben de descontar de dicho cómputo por ser inhábiles los días</w:t>
      </w:r>
      <w:r w:rsidR="006D329C" w:rsidRPr="0090693E">
        <w:rPr>
          <w:rFonts w:ascii="Arial" w:eastAsia="Times New Roman" w:hAnsi="Arial" w:cs="Arial"/>
          <w:color w:val="2E74B5" w:themeColor="accent1" w:themeShade="BF"/>
          <w:sz w:val="24"/>
          <w:szCs w:val="24"/>
          <w:lang w:eastAsia="es-MX"/>
        </w:rPr>
        <w:t xml:space="preserve"> </w:t>
      </w:r>
      <w:r w:rsidR="00F274D0" w:rsidRPr="0090693E">
        <w:rPr>
          <w:rFonts w:ascii="Arial" w:eastAsia="Times New Roman" w:hAnsi="Arial" w:cs="Arial"/>
          <w:color w:val="2E74B5" w:themeColor="accent1" w:themeShade="BF"/>
          <w:sz w:val="24"/>
          <w:szCs w:val="24"/>
          <w:lang w:eastAsia="es-MX"/>
        </w:rPr>
        <w:t xml:space="preserve">10 diez, 11 once, 17 diecisiete, 18 </w:t>
      </w:r>
      <w:r w:rsidR="00163108" w:rsidRPr="0090693E">
        <w:rPr>
          <w:rFonts w:ascii="Arial" w:eastAsia="Times New Roman" w:hAnsi="Arial" w:cs="Arial"/>
          <w:color w:val="2E74B5" w:themeColor="accent1" w:themeShade="BF"/>
          <w:sz w:val="24"/>
          <w:szCs w:val="24"/>
          <w:lang w:eastAsia="es-MX"/>
        </w:rPr>
        <w:t>dieciocho,</w:t>
      </w:r>
      <w:r w:rsidR="00E91A57">
        <w:rPr>
          <w:rFonts w:ascii="Arial" w:eastAsia="Times New Roman" w:hAnsi="Arial" w:cs="Arial"/>
          <w:color w:val="2E74B5" w:themeColor="accent1" w:themeShade="BF"/>
          <w:sz w:val="24"/>
          <w:szCs w:val="24"/>
          <w:lang w:eastAsia="es-MX"/>
        </w:rPr>
        <w:t xml:space="preserve"> 19 diecinueve,</w:t>
      </w:r>
      <w:r w:rsidR="00163108" w:rsidRPr="0090693E">
        <w:rPr>
          <w:rFonts w:ascii="Arial" w:eastAsia="Times New Roman" w:hAnsi="Arial" w:cs="Arial"/>
          <w:color w:val="2E74B5" w:themeColor="accent1" w:themeShade="BF"/>
          <w:sz w:val="24"/>
          <w:szCs w:val="24"/>
          <w:lang w:eastAsia="es-MX"/>
        </w:rPr>
        <w:t xml:space="preserve"> 24</w:t>
      </w:r>
      <w:r w:rsidR="00F274D0" w:rsidRPr="0090693E">
        <w:rPr>
          <w:rFonts w:ascii="Arial" w:eastAsia="Times New Roman" w:hAnsi="Arial" w:cs="Arial"/>
          <w:color w:val="2E74B5" w:themeColor="accent1" w:themeShade="BF"/>
          <w:sz w:val="24"/>
          <w:szCs w:val="24"/>
          <w:lang w:eastAsia="es-MX"/>
        </w:rPr>
        <w:t xml:space="preserve"> veinticuatro, 25 veinticinco de noviembre </w:t>
      </w:r>
      <w:r w:rsidRPr="0090693E">
        <w:rPr>
          <w:rFonts w:ascii="Arial" w:eastAsia="Times New Roman" w:hAnsi="Arial" w:cs="Arial"/>
          <w:color w:val="2E74B5" w:themeColor="accent1" w:themeShade="BF"/>
          <w:sz w:val="24"/>
          <w:szCs w:val="24"/>
          <w:lang w:eastAsia="es-MX"/>
        </w:rPr>
        <w:t>de 2018 dos mil dieciocho.</w:t>
      </w:r>
    </w:p>
    <w:p w:rsidR="00450214" w:rsidRPr="0090693E" w:rsidRDefault="00450214" w:rsidP="0090693E">
      <w:pPr>
        <w:numPr>
          <w:ilvl w:val="0"/>
          <w:numId w:val="3"/>
        </w:numPr>
        <w:spacing w:after="0"/>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color w:val="2E74B5" w:themeColor="accent1" w:themeShade="BF"/>
          <w:sz w:val="24"/>
          <w:szCs w:val="24"/>
          <w:lang w:eastAsia="es-MX"/>
        </w:rPr>
        <w:t xml:space="preserve">Consecuentemente si el </w:t>
      </w:r>
      <w:r w:rsidR="00F274D0" w:rsidRPr="0090693E">
        <w:rPr>
          <w:rFonts w:ascii="Arial" w:eastAsia="Times New Roman" w:hAnsi="Arial" w:cs="Arial"/>
          <w:color w:val="2E74B5" w:themeColor="accent1" w:themeShade="BF"/>
          <w:sz w:val="24"/>
          <w:szCs w:val="24"/>
          <w:lang w:eastAsia="es-MX"/>
        </w:rPr>
        <w:t>05 cinco de noviembre</w:t>
      </w:r>
      <w:r w:rsidR="00A97854" w:rsidRPr="0090693E">
        <w:rPr>
          <w:rFonts w:ascii="Arial" w:eastAsia="Times New Roman" w:hAnsi="Arial" w:cs="Arial"/>
          <w:color w:val="2E74B5" w:themeColor="accent1" w:themeShade="BF"/>
          <w:sz w:val="24"/>
          <w:szCs w:val="24"/>
          <w:lang w:eastAsia="es-MX"/>
        </w:rPr>
        <w:t xml:space="preserve"> </w:t>
      </w:r>
      <w:r w:rsidRPr="0090693E">
        <w:rPr>
          <w:rFonts w:ascii="Arial" w:eastAsia="Times New Roman" w:hAnsi="Arial" w:cs="Arial"/>
          <w:color w:val="2E74B5" w:themeColor="accent1" w:themeShade="BF"/>
          <w:sz w:val="24"/>
          <w:szCs w:val="24"/>
          <w:lang w:eastAsia="es-MX"/>
        </w:rPr>
        <w:t xml:space="preserve">de </w:t>
      </w:r>
      <w:r w:rsidR="00A97854" w:rsidRPr="0090693E">
        <w:rPr>
          <w:rFonts w:ascii="Arial" w:eastAsia="Times New Roman" w:hAnsi="Arial" w:cs="Arial"/>
          <w:color w:val="2E74B5" w:themeColor="accent1" w:themeShade="BF"/>
          <w:sz w:val="24"/>
          <w:szCs w:val="24"/>
          <w:lang w:eastAsia="es-MX"/>
        </w:rPr>
        <w:t xml:space="preserve">2018 dos mil dieciocho, </w:t>
      </w:r>
      <w:r w:rsidRPr="0090693E">
        <w:rPr>
          <w:rFonts w:ascii="Arial" w:eastAsia="Times New Roman" w:hAnsi="Arial" w:cs="Arial"/>
          <w:color w:val="2E74B5" w:themeColor="accent1" w:themeShade="BF"/>
          <w:sz w:val="24"/>
          <w:szCs w:val="24"/>
          <w:lang w:eastAsia="es-MX"/>
        </w:rPr>
        <w:t>el recurrente interpuso el citado medio de impugnación ante</w:t>
      </w:r>
      <w:r w:rsidR="00A97854" w:rsidRPr="0090693E">
        <w:rPr>
          <w:rFonts w:ascii="Arial" w:eastAsia="Times New Roman" w:hAnsi="Arial" w:cs="Arial"/>
          <w:color w:val="2E74B5" w:themeColor="accent1" w:themeShade="BF"/>
          <w:sz w:val="24"/>
          <w:szCs w:val="24"/>
          <w:lang w:eastAsia="es-MX"/>
        </w:rPr>
        <w:t xml:space="preserve"> esta Comisión de Transparencia, mismo que quedó presentado </w:t>
      </w:r>
      <w:r w:rsidRPr="0090693E">
        <w:rPr>
          <w:rFonts w:ascii="Arial" w:hAnsi="Arial" w:cs="Arial"/>
          <w:color w:val="2E74B5" w:themeColor="accent1" w:themeShade="BF"/>
          <w:sz w:val="24"/>
          <w:szCs w:val="24"/>
        </w:rPr>
        <w:t>ante la Oficialía de Partes de esta Comisión Estatal de Garantía de Acceso a la Información Pública el día</w:t>
      </w:r>
      <w:r w:rsidR="00A97854" w:rsidRPr="0090693E">
        <w:rPr>
          <w:rFonts w:ascii="Arial" w:hAnsi="Arial" w:cs="Arial"/>
          <w:color w:val="2E74B5" w:themeColor="accent1" w:themeShade="BF"/>
          <w:sz w:val="24"/>
          <w:szCs w:val="24"/>
        </w:rPr>
        <w:t xml:space="preserve"> </w:t>
      </w:r>
      <w:r w:rsidR="00F274D0" w:rsidRPr="0090693E">
        <w:rPr>
          <w:rFonts w:ascii="Arial" w:hAnsi="Arial" w:cs="Arial"/>
          <w:color w:val="2E74B5" w:themeColor="accent1" w:themeShade="BF"/>
          <w:sz w:val="24"/>
          <w:szCs w:val="24"/>
        </w:rPr>
        <w:t>06 seis</w:t>
      </w:r>
      <w:r w:rsidR="00A97854" w:rsidRPr="0090693E">
        <w:rPr>
          <w:rFonts w:ascii="Arial" w:hAnsi="Arial" w:cs="Arial"/>
          <w:color w:val="2E74B5" w:themeColor="accent1" w:themeShade="BF"/>
          <w:sz w:val="24"/>
          <w:szCs w:val="24"/>
        </w:rPr>
        <w:t xml:space="preserve"> del referido mes y año</w:t>
      </w:r>
      <w:r w:rsidRPr="0090693E">
        <w:rPr>
          <w:rFonts w:ascii="Arial" w:hAnsi="Arial" w:cs="Arial"/>
          <w:color w:val="2E74B5" w:themeColor="accent1" w:themeShade="BF"/>
          <w:sz w:val="24"/>
          <w:szCs w:val="24"/>
        </w:rPr>
        <w:t xml:space="preserve">, es decir al día hábil siguiente al que fue interpuesto, </w:t>
      </w:r>
      <w:r w:rsidR="00A97854" w:rsidRPr="0090693E">
        <w:rPr>
          <w:rFonts w:ascii="Arial" w:hAnsi="Arial" w:cs="Arial"/>
          <w:color w:val="2E74B5" w:themeColor="accent1" w:themeShade="BF"/>
          <w:sz w:val="24"/>
          <w:szCs w:val="24"/>
        </w:rPr>
        <w:t>es decir al día hábil siguiente al que fue interpuesto, por haber sido interpuesto ante el sistema posterior a la hora establecida, ello de conformidad con el Acuerdo de Pleno S.O. CEGAIP-208/2014.</w:t>
      </w:r>
    </w:p>
    <w:p w:rsidR="00A97854" w:rsidRPr="0090693E" w:rsidRDefault="00A97854" w:rsidP="0090693E">
      <w:pPr>
        <w:spacing w:after="0"/>
        <w:ind w:left="1429"/>
        <w:jc w:val="both"/>
        <w:rPr>
          <w:rFonts w:ascii="Arial" w:eastAsia="Times New Roman" w:hAnsi="Arial" w:cs="Arial"/>
          <w:color w:val="2E74B5" w:themeColor="accent1" w:themeShade="BF"/>
          <w:sz w:val="24"/>
          <w:szCs w:val="24"/>
          <w:lang w:eastAsia="es-MX"/>
        </w:rPr>
      </w:pPr>
    </w:p>
    <w:p w:rsidR="00450214" w:rsidRPr="0090693E" w:rsidRDefault="00450214" w:rsidP="0090693E">
      <w:pPr>
        <w:pStyle w:val="corte4fondo"/>
        <w:spacing w:line="276" w:lineRule="auto"/>
        <w:ind w:firstLine="0"/>
        <w:rPr>
          <w:rFonts w:cs="Arial"/>
          <w:color w:val="2E74B5" w:themeColor="accent1" w:themeShade="BF"/>
          <w:sz w:val="24"/>
          <w:szCs w:val="24"/>
        </w:rPr>
      </w:pPr>
      <w:r w:rsidRPr="0090693E">
        <w:rPr>
          <w:rFonts w:cs="Arial"/>
          <w:color w:val="2E74B5" w:themeColor="accent1" w:themeShade="BF"/>
          <w:sz w:val="24"/>
          <w:szCs w:val="24"/>
        </w:rPr>
        <w:tab/>
      </w:r>
      <w:r w:rsidRPr="0090693E">
        <w:rPr>
          <w:rFonts w:cs="Arial"/>
          <w:b/>
          <w:color w:val="2E74B5" w:themeColor="accent1" w:themeShade="BF"/>
          <w:sz w:val="24"/>
          <w:szCs w:val="24"/>
        </w:rPr>
        <w:t>CUARTO. Certeza del acto reclamado</w:t>
      </w:r>
      <w:r w:rsidRPr="0090693E">
        <w:rPr>
          <w:rFonts w:cs="Arial"/>
          <w:color w:val="2E74B5" w:themeColor="accent1" w:themeShade="BF"/>
          <w:sz w:val="24"/>
          <w:szCs w:val="24"/>
        </w:rPr>
        <w:t>. Son ciertos los actos reclamados atribuidos a los sujetos obligados en virtud de que así lo reconocieron en su informe.</w:t>
      </w:r>
    </w:p>
    <w:p w:rsidR="00450214" w:rsidRPr="0090693E" w:rsidRDefault="00450214" w:rsidP="0090693E">
      <w:pPr>
        <w:pStyle w:val="corte4fondo"/>
        <w:spacing w:line="276" w:lineRule="auto"/>
        <w:ind w:firstLine="0"/>
        <w:rPr>
          <w:rFonts w:cs="Arial"/>
          <w:color w:val="2E74B5" w:themeColor="accent1" w:themeShade="BF"/>
          <w:sz w:val="24"/>
          <w:szCs w:val="24"/>
        </w:rPr>
      </w:pPr>
      <w:r w:rsidRPr="0090693E">
        <w:rPr>
          <w:rFonts w:cs="Arial"/>
          <w:color w:val="2E74B5" w:themeColor="accent1" w:themeShade="BF"/>
          <w:sz w:val="24"/>
          <w:szCs w:val="24"/>
        </w:rPr>
        <w:tab/>
      </w:r>
    </w:p>
    <w:p w:rsidR="00450214" w:rsidRPr="0090693E" w:rsidRDefault="00450214" w:rsidP="0090693E">
      <w:pPr>
        <w:pStyle w:val="corte4fondo"/>
        <w:spacing w:line="276" w:lineRule="auto"/>
        <w:ind w:firstLine="708"/>
        <w:rPr>
          <w:rFonts w:cs="Arial"/>
          <w:color w:val="2E74B5" w:themeColor="accent1" w:themeShade="BF"/>
          <w:sz w:val="24"/>
          <w:szCs w:val="24"/>
        </w:rPr>
      </w:pPr>
      <w:r w:rsidRPr="0090693E">
        <w:rPr>
          <w:rFonts w:cs="Arial"/>
          <w:b/>
          <w:color w:val="2E74B5" w:themeColor="accent1" w:themeShade="BF"/>
          <w:sz w:val="24"/>
          <w:szCs w:val="24"/>
        </w:rPr>
        <w:t>QUINTO</w:t>
      </w:r>
      <w:r w:rsidRPr="0090693E">
        <w:rPr>
          <w:rFonts w:cs="Arial"/>
          <w:color w:val="2E74B5" w:themeColor="accent1" w:themeShade="BF"/>
          <w:sz w:val="24"/>
          <w:szCs w:val="24"/>
        </w:rPr>
        <w:t xml:space="preserve">. </w:t>
      </w:r>
      <w:r w:rsidRPr="0090693E">
        <w:rPr>
          <w:rFonts w:cs="Arial"/>
          <w:b/>
          <w:color w:val="2E74B5" w:themeColor="accent1" w:themeShade="BF"/>
          <w:sz w:val="24"/>
          <w:szCs w:val="24"/>
        </w:rPr>
        <w:t xml:space="preserve">Causales de improcedencia. </w:t>
      </w:r>
      <w:r w:rsidRPr="0090693E">
        <w:rPr>
          <w:rFonts w:cs="Arial"/>
          <w:color w:val="2E74B5" w:themeColor="accent1" w:themeShade="BF"/>
          <w:sz w:val="24"/>
          <w:szCs w:val="24"/>
        </w:rPr>
        <w:t>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450214" w:rsidRPr="0090693E" w:rsidRDefault="00450214" w:rsidP="0090693E">
      <w:pPr>
        <w:pStyle w:val="corte4fondo"/>
        <w:spacing w:line="276" w:lineRule="auto"/>
        <w:ind w:firstLine="708"/>
        <w:rPr>
          <w:rFonts w:cs="Arial"/>
          <w:color w:val="2E74B5" w:themeColor="accent1" w:themeShade="BF"/>
          <w:sz w:val="24"/>
          <w:szCs w:val="24"/>
        </w:rPr>
      </w:pPr>
    </w:p>
    <w:p w:rsidR="00450214" w:rsidRPr="0090693E" w:rsidRDefault="00450214" w:rsidP="0090693E">
      <w:pPr>
        <w:pStyle w:val="corte4fondo"/>
        <w:spacing w:line="276" w:lineRule="auto"/>
        <w:ind w:firstLine="708"/>
        <w:rPr>
          <w:rFonts w:cs="Arial"/>
          <w:color w:val="2E74B5" w:themeColor="accent1" w:themeShade="BF"/>
          <w:sz w:val="24"/>
          <w:szCs w:val="24"/>
        </w:rPr>
      </w:pPr>
      <w:r w:rsidRPr="0090693E">
        <w:rPr>
          <w:rFonts w:cs="Arial"/>
          <w:b/>
          <w:color w:val="2E74B5" w:themeColor="accent1" w:themeShade="BF"/>
          <w:sz w:val="24"/>
          <w:szCs w:val="24"/>
        </w:rPr>
        <w:t>SEXTO. Estudio de los agravios</w:t>
      </w:r>
      <w:r w:rsidRPr="0090693E">
        <w:rPr>
          <w:rFonts w:cs="Arial"/>
          <w:color w:val="2E74B5" w:themeColor="accent1" w:themeShade="BF"/>
          <w:sz w:val="24"/>
          <w:szCs w:val="24"/>
        </w:rPr>
        <w:t xml:space="preserve">.  </w:t>
      </w:r>
    </w:p>
    <w:p w:rsidR="00450214" w:rsidRPr="0090693E" w:rsidRDefault="00450214" w:rsidP="0090693E">
      <w:pPr>
        <w:pStyle w:val="corte4fondo"/>
        <w:spacing w:line="276" w:lineRule="auto"/>
        <w:ind w:firstLine="0"/>
        <w:rPr>
          <w:rFonts w:cs="Arial"/>
          <w:color w:val="2E74B5" w:themeColor="accent1" w:themeShade="BF"/>
          <w:sz w:val="24"/>
          <w:szCs w:val="24"/>
        </w:rPr>
      </w:pPr>
    </w:p>
    <w:p w:rsidR="00450214" w:rsidRPr="0090693E" w:rsidRDefault="00450214" w:rsidP="0090693E">
      <w:pPr>
        <w:pStyle w:val="corte4fondo"/>
        <w:spacing w:line="276" w:lineRule="auto"/>
        <w:ind w:firstLine="0"/>
        <w:rPr>
          <w:rFonts w:cs="Arial"/>
          <w:b/>
          <w:color w:val="2E74B5" w:themeColor="accent1" w:themeShade="BF"/>
          <w:sz w:val="24"/>
          <w:szCs w:val="24"/>
        </w:rPr>
      </w:pPr>
      <w:r w:rsidRPr="0090693E">
        <w:rPr>
          <w:rFonts w:cs="Arial"/>
          <w:color w:val="2E74B5" w:themeColor="accent1" w:themeShade="BF"/>
          <w:sz w:val="24"/>
          <w:szCs w:val="24"/>
        </w:rPr>
        <w:tab/>
      </w:r>
      <w:r w:rsidRPr="0090693E">
        <w:rPr>
          <w:rFonts w:cs="Arial"/>
          <w:b/>
          <w:color w:val="2E74B5" w:themeColor="accent1" w:themeShade="BF"/>
          <w:sz w:val="24"/>
          <w:szCs w:val="24"/>
        </w:rPr>
        <w:t>6.1. Agravios.</w:t>
      </w:r>
    </w:p>
    <w:p w:rsidR="00450214" w:rsidRPr="0090693E" w:rsidRDefault="00450214" w:rsidP="0090693E">
      <w:pPr>
        <w:pStyle w:val="corte4fondo"/>
        <w:spacing w:line="276" w:lineRule="auto"/>
        <w:ind w:firstLine="708"/>
        <w:rPr>
          <w:rFonts w:cs="Arial"/>
          <w:color w:val="2E74B5" w:themeColor="accent1" w:themeShade="BF"/>
          <w:sz w:val="24"/>
          <w:szCs w:val="24"/>
        </w:rPr>
      </w:pP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ab/>
        <w:t>El hoy recurrente manifestó como motivos de inconformidad lo siguiente:</w:t>
      </w: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p>
    <w:p w:rsidR="00DE7D7B" w:rsidRPr="0090693E" w:rsidRDefault="00450214" w:rsidP="0090693E">
      <w:pPr>
        <w:pStyle w:val="corte4fondo"/>
        <w:tabs>
          <w:tab w:val="left" w:pos="567"/>
        </w:tabs>
        <w:spacing w:line="276" w:lineRule="auto"/>
        <w:rPr>
          <w:rFonts w:cs="Arial"/>
          <w:i/>
          <w:color w:val="2E74B5" w:themeColor="accent1" w:themeShade="BF"/>
          <w:sz w:val="20"/>
        </w:rPr>
      </w:pPr>
      <w:r w:rsidRPr="0090693E">
        <w:rPr>
          <w:rFonts w:cs="Arial"/>
          <w:i/>
          <w:color w:val="2E74B5" w:themeColor="accent1" w:themeShade="BF"/>
          <w:sz w:val="20"/>
        </w:rPr>
        <w:t>“…</w:t>
      </w:r>
      <w:r w:rsidR="00DE7D7B" w:rsidRPr="0090693E">
        <w:rPr>
          <w:rFonts w:cs="Arial"/>
          <w:i/>
          <w:color w:val="2E74B5" w:themeColor="accent1" w:themeShade="BF"/>
          <w:sz w:val="20"/>
        </w:rPr>
        <w:t>1. En la respuesta de la autoridad se dice que: "Se hace de su conocimiento que la respuesta a su solicitud de información, se enviará a la cuenta de correo electrónico (aquilesbeazapregunta@gmail.com)" no obstante no he recibido correo electrónico alguno con la respuesta. Tal vez, por que mi correo NO es el que la autoridad pone entre paréntesis si no, el de aquilesbaezapregunta@gmail.com.  Como puede verse en mi perfil.</w:t>
      </w:r>
    </w:p>
    <w:p w:rsidR="00DE7D7B" w:rsidRPr="0090693E" w:rsidRDefault="00DE7D7B" w:rsidP="0090693E">
      <w:pPr>
        <w:pStyle w:val="corte4fondo"/>
        <w:tabs>
          <w:tab w:val="left" w:pos="567"/>
        </w:tabs>
        <w:spacing w:line="276" w:lineRule="auto"/>
        <w:rPr>
          <w:rFonts w:cs="Arial"/>
          <w:i/>
          <w:color w:val="2E74B5" w:themeColor="accent1" w:themeShade="BF"/>
          <w:sz w:val="20"/>
        </w:rPr>
      </w:pPr>
      <w:r w:rsidRPr="0090693E">
        <w:rPr>
          <w:rFonts w:cs="Arial"/>
          <w:i/>
          <w:color w:val="2E74B5" w:themeColor="accent1" w:themeShade="BF"/>
          <w:sz w:val="20"/>
        </w:rPr>
        <w:t>2. No obstante lo anterior, la respuesta me deja en total estado de indefensión y constituye una simulación puesto que NO RECIBÍ NADA y además yo solicité los datos mediante la plataforma de transparencia, sólo en el caso justificado se debió buscar alguna alternativa.</w:t>
      </w:r>
    </w:p>
    <w:p w:rsidR="00DE7D7B" w:rsidRPr="0090693E" w:rsidRDefault="00DE7D7B" w:rsidP="0090693E">
      <w:pPr>
        <w:pStyle w:val="corte4fondo"/>
        <w:tabs>
          <w:tab w:val="left" w:pos="567"/>
        </w:tabs>
        <w:spacing w:line="276" w:lineRule="auto"/>
        <w:rPr>
          <w:rFonts w:cs="Arial"/>
          <w:i/>
          <w:color w:val="2E74B5" w:themeColor="accent1" w:themeShade="BF"/>
          <w:sz w:val="20"/>
        </w:rPr>
      </w:pPr>
      <w:r w:rsidRPr="0090693E">
        <w:rPr>
          <w:rFonts w:cs="Arial"/>
          <w:i/>
          <w:color w:val="2E74B5" w:themeColor="accent1" w:themeShade="BF"/>
          <w:sz w:val="20"/>
        </w:rPr>
        <w:t>3. Al no haber recibido respuesta en tiempo, solicito que se declare la afirmativa ficta puesto que no se me contestó sobre ninguno de los cuestionamientos que hice.</w:t>
      </w:r>
    </w:p>
    <w:p w:rsidR="00450214" w:rsidRPr="0090693E" w:rsidRDefault="00DE7D7B" w:rsidP="0090693E">
      <w:pPr>
        <w:pStyle w:val="corte4fondo"/>
        <w:tabs>
          <w:tab w:val="left" w:pos="567"/>
        </w:tabs>
        <w:spacing w:line="276" w:lineRule="auto"/>
        <w:rPr>
          <w:rFonts w:cs="Arial"/>
          <w:i/>
          <w:color w:val="2E74B5" w:themeColor="accent1" w:themeShade="BF"/>
          <w:sz w:val="20"/>
        </w:rPr>
      </w:pPr>
      <w:r w:rsidRPr="0090693E">
        <w:rPr>
          <w:rFonts w:cs="Arial"/>
          <w:i/>
          <w:color w:val="2E74B5" w:themeColor="accent1" w:themeShade="BF"/>
          <w:sz w:val="20"/>
        </w:rPr>
        <w:t>4. Al no tener una respuesta específica no estoy en condiciones de evaluar la información y quedo en estado de indefensión. del mismo modo la CEGAIP no se encuentra en condiciones de revisar la calidad de la información porque no se subió nada a este Sistema de Solicitudes de Información del Estado de San Luis Potosí</w:t>
      </w:r>
      <w:r w:rsidR="00A97854" w:rsidRPr="0090693E">
        <w:rPr>
          <w:rFonts w:cs="Arial"/>
          <w:i/>
          <w:color w:val="2E74B5" w:themeColor="accent1" w:themeShade="BF"/>
          <w:sz w:val="20"/>
        </w:rPr>
        <w:t>.</w:t>
      </w:r>
      <w:r w:rsidR="00450214" w:rsidRPr="0090693E">
        <w:rPr>
          <w:rFonts w:cs="Arial"/>
          <w:i/>
          <w:color w:val="2E74B5" w:themeColor="accent1" w:themeShade="BF"/>
          <w:sz w:val="20"/>
        </w:rPr>
        <w:t>…” (Sic)</w:t>
      </w:r>
    </w:p>
    <w:p w:rsidR="00F12748" w:rsidRPr="0090693E" w:rsidRDefault="00F12748" w:rsidP="0090693E">
      <w:pPr>
        <w:autoSpaceDE w:val="0"/>
        <w:autoSpaceDN w:val="0"/>
        <w:adjustRightInd w:val="0"/>
        <w:spacing w:after="0"/>
        <w:rPr>
          <w:rFonts w:ascii="Arial" w:hAnsi="Arial" w:cs="Arial"/>
          <w:color w:val="2E74B5" w:themeColor="accent1" w:themeShade="BF"/>
          <w:sz w:val="24"/>
        </w:rPr>
      </w:pPr>
    </w:p>
    <w:p w:rsidR="00C1165D" w:rsidRPr="0090693E" w:rsidRDefault="00C1165D" w:rsidP="0090693E">
      <w:pPr>
        <w:pStyle w:val="corte4fondo"/>
        <w:tabs>
          <w:tab w:val="left" w:pos="567"/>
        </w:tabs>
        <w:spacing w:line="276" w:lineRule="auto"/>
        <w:rPr>
          <w:rFonts w:cs="Arial"/>
          <w:color w:val="2E74B5" w:themeColor="accent1" w:themeShade="BF"/>
          <w:sz w:val="24"/>
          <w:szCs w:val="24"/>
        </w:rPr>
      </w:pPr>
      <w:r w:rsidRPr="00BB321B">
        <w:rPr>
          <w:rFonts w:cs="Arial"/>
          <w:b/>
          <w:color w:val="2E74B5" w:themeColor="accent1" w:themeShade="BF"/>
          <w:sz w:val="24"/>
          <w:szCs w:val="24"/>
        </w:rPr>
        <w:t>6.1.</w:t>
      </w:r>
      <w:r w:rsidR="00BB321B" w:rsidRPr="00BB321B">
        <w:rPr>
          <w:rFonts w:cs="Arial"/>
          <w:b/>
          <w:color w:val="2E74B5" w:themeColor="accent1" w:themeShade="BF"/>
          <w:sz w:val="24"/>
          <w:szCs w:val="24"/>
        </w:rPr>
        <w:t>1</w:t>
      </w:r>
      <w:r w:rsidR="00BB321B">
        <w:rPr>
          <w:rFonts w:cs="Arial"/>
          <w:b/>
          <w:color w:val="2E74B5" w:themeColor="accent1" w:themeShade="BF"/>
          <w:sz w:val="24"/>
          <w:szCs w:val="24"/>
        </w:rPr>
        <w:t>.</w:t>
      </w:r>
      <w:r w:rsidRPr="00BB321B">
        <w:rPr>
          <w:rFonts w:cs="Arial"/>
          <w:b/>
          <w:color w:val="2E74B5" w:themeColor="accent1" w:themeShade="BF"/>
          <w:sz w:val="24"/>
          <w:szCs w:val="24"/>
        </w:rPr>
        <w:t xml:space="preserve"> Estudio de la respuesta.</w:t>
      </w:r>
    </w:p>
    <w:p w:rsidR="00C1165D" w:rsidRPr="0090693E" w:rsidRDefault="00C1165D" w:rsidP="0090693E">
      <w:pPr>
        <w:pStyle w:val="corte4fondo"/>
        <w:tabs>
          <w:tab w:val="left" w:pos="567"/>
        </w:tabs>
        <w:spacing w:line="276" w:lineRule="auto"/>
        <w:rPr>
          <w:rFonts w:cs="Arial"/>
          <w:noProof/>
          <w:color w:val="2E74B5" w:themeColor="accent1" w:themeShade="BF"/>
          <w:sz w:val="24"/>
          <w:szCs w:val="24"/>
        </w:rPr>
      </w:pPr>
    </w:p>
    <w:p w:rsidR="00C1165D" w:rsidRPr="0090693E" w:rsidRDefault="00C1165D" w:rsidP="0090693E">
      <w:pPr>
        <w:pStyle w:val="corte4fondo"/>
        <w:tabs>
          <w:tab w:val="left" w:pos="567"/>
        </w:tabs>
        <w:spacing w:line="276" w:lineRule="auto"/>
        <w:rPr>
          <w:rFonts w:cs="Arial"/>
          <w:noProof/>
          <w:color w:val="2E74B5" w:themeColor="accent1" w:themeShade="BF"/>
          <w:sz w:val="24"/>
          <w:szCs w:val="24"/>
        </w:rPr>
      </w:pPr>
      <w:r w:rsidRPr="0090693E">
        <w:rPr>
          <w:rFonts w:cs="Arial"/>
          <w:noProof/>
          <w:color w:val="2E74B5" w:themeColor="accent1" w:themeShade="BF"/>
          <w:sz w:val="24"/>
          <w:szCs w:val="24"/>
        </w:rPr>
        <w:t xml:space="preserve">En el caso concreto de </w:t>
      </w:r>
      <w:r w:rsidR="0029773F" w:rsidRPr="0090693E">
        <w:rPr>
          <w:rFonts w:cs="Arial"/>
          <w:noProof/>
          <w:color w:val="2E74B5" w:themeColor="accent1" w:themeShade="BF"/>
          <w:sz w:val="24"/>
          <w:szCs w:val="24"/>
        </w:rPr>
        <w:t xml:space="preserve">la </w:t>
      </w:r>
      <w:r w:rsidRPr="0090693E">
        <w:rPr>
          <w:rFonts w:cs="Arial"/>
          <w:noProof/>
          <w:color w:val="2E74B5" w:themeColor="accent1" w:themeShade="BF"/>
          <w:sz w:val="24"/>
          <w:szCs w:val="24"/>
        </w:rPr>
        <w:t>respuesta</w:t>
      </w:r>
      <w:r w:rsidR="0029773F" w:rsidRPr="0090693E">
        <w:rPr>
          <w:rFonts w:cs="Arial"/>
          <w:noProof/>
          <w:color w:val="2E74B5" w:themeColor="accent1" w:themeShade="BF"/>
          <w:sz w:val="24"/>
          <w:szCs w:val="24"/>
        </w:rPr>
        <w:t xml:space="preserve"> primigenia </w:t>
      </w:r>
      <w:r w:rsidRPr="0090693E">
        <w:rPr>
          <w:rFonts w:cs="Arial"/>
          <w:noProof/>
          <w:color w:val="2E74B5" w:themeColor="accent1" w:themeShade="BF"/>
          <w:sz w:val="24"/>
          <w:szCs w:val="24"/>
        </w:rPr>
        <w:t xml:space="preserve"> se advierte que este informó lo siguente:</w:t>
      </w:r>
    </w:p>
    <w:p w:rsidR="00C1165D" w:rsidRPr="0090693E" w:rsidRDefault="00C1165D" w:rsidP="0090693E">
      <w:pPr>
        <w:pStyle w:val="corte4fondo"/>
        <w:tabs>
          <w:tab w:val="left" w:pos="567"/>
        </w:tabs>
        <w:spacing w:line="276" w:lineRule="auto"/>
        <w:rPr>
          <w:rFonts w:cs="Arial"/>
          <w:i/>
          <w:noProof/>
          <w:color w:val="2E74B5" w:themeColor="accent1" w:themeShade="BF"/>
          <w:sz w:val="20"/>
        </w:rPr>
      </w:pPr>
    </w:p>
    <w:p w:rsidR="0029773F" w:rsidRPr="0090693E" w:rsidRDefault="00C1165D" w:rsidP="0090693E">
      <w:pPr>
        <w:pStyle w:val="corte4fondo"/>
        <w:tabs>
          <w:tab w:val="left" w:pos="567"/>
        </w:tabs>
        <w:spacing w:line="276" w:lineRule="auto"/>
        <w:rPr>
          <w:rFonts w:cs="Arial"/>
          <w:i/>
          <w:color w:val="2E74B5" w:themeColor="accent1" w:themeShade="BF"/>
          <w:sz w:val="20"/>
        </w:rPr>
      </w:pPr>
      <w:r w:rsidRPr="0090693E">
        <w:rPr>
          <w:rFonts w:cs="Arial"/>
          <w:i/>
          <w:noProof/>
          <w:color w:val="2E74B5" w:themeColor="accent1" w:themeShade="BF"/>
          <w:sz w:val="20"/>
        </w:rPr>
        <w:t>“…</w:t>
      </w:r>
      <w:r w:rsidR="0029773F" w:rsidRPr="0090693E">
        <w:rPr>
          <w:rFonts w:cs="Arial"/>
          <w:i/>
          <w:noProof/>
          <w:color w:val="2E74B5" w:themeColor="accent1" w:themeShade="BF"/>
          <w:sz w:val="20"/>
        </w:rPr>
        <w:t>Se hace de su conocimiento que la respuesta a su solicitud de información, se enviará a la cuenta de correo electrónico (</w:t>
      </w:r>
      <w:hyperlink r:id="rId11" w:history="1">
        <w:r w:rsidR="0029773F" w:rsidRPr="0090693E">
          <w:rPr>
            <w:rStyle w:val="Hipervnculo"/>
            <w:rFonts w:cs="Arial"/>
            <w:i/>
            <w:noProof/>
            <w:color w:val="2E74B5" w:themeColor="accent1" w:themeShade="BF"/>
            <w:sz w:val="20"/>
          </w:rPr>
          <w:t>aquilesbeazapregunta@gmail.com)</w:t>
        </w:r>
      </w:hyperlink>
      <w:r w:rsidR="0029773F" w:rsidRPr="0090693E">
        <w:rPr>
          <w:rFonts w:cs="Arial"/>
          <w:i/>
          <w:noProof/>
          <w:color w:val="2E74B5" w:themeColor="accent1" w:themeShade="BF"/>
          <w:sz w:val="20"/>
        </w:rPr>
        <w:t>..</w:t>
      </w:r>
      <w:r w:rsidRPr="0090693E">
        <w:rPr>
          <w:rFonts w:cs="Arial"/>
          <w:i/>
          <w:color w:val="2E74B5" w:themeColor="accent1" w:themeShade="BF"/>
          <w:sz w:val="20"/>
        </w:rPr>
        <w:t>.”</w:t>
      </w:r>
    </w:p>
    <w:p w:rsidR="0029773F" w:rsidRPr="0090693E" w:rsidRDefault="0029773F" w:rsidP="0090693E">
      <w:pPr>
        <w:pStyle w:val="corte4fondo"/>
        <w:tabs>
          <w:tab w:val="left" w:pos="567"/>
        </w:tabs>
        <w:spacing w:line="276" w:lineRule="auto"/>
        <w:rPr>
          <w:rFonts w:cs="Arial"/>
          <w:i/>
          <w:color w:val="2E74B5" w:themeColor="accent1" w:themeShade="BF"/>
          <w:sz w:val="24"/>
          <w:szCs w:val="24"/>
        </w:rPr>
      </w:pPr>
    </w:p>
    <w:p w:rsidR="001638BD" w:rsidRPr="0090693E" w:rsidRDefault="001638BD" w:rsidP="0090693E">
      <w:pPr>
        <w:spacing w:after="0"/>
        <w:ind w:firstLine="708"/>
        <w:jc w:val="both"/>
        <w:rPr>
          <w:rFonts w:ascii="Arial" w:hAnsi="Arial" w:cs="Arial"/>
          <w:noProof/>
          <w:color w:val="2E74B5" w:themeColor="accent1" w:themeShade="BF"/>
          <w:sz w:val="24"/>
          <w:szCs w:val="24"/>
        </w:rPr>
      </w:pPr>
      <w:r w:rsidRPr="0090693E">
        <w:rPr>
          <w:rFonts w:ascii="Arial" w:hAnsi="Arial" w:cs="Arial"/>
          <w:color w:val="2E74B5" w:themeColor="accent1" w:themeShade="BF"/>
          <w:sz w:val="24"/>
          <w:szCs w:val="24"/>
        </w:rPr>
        <w:t xml:space="preserve">Asimismo, </w:t>
      </w:r>
      <w:r w:rsidRPr="0090693E">
        <w:rPr>
          <w:rFonts w:ascii="Arial" w:hAnsi="Arial" w:cs="Arial"/>
          <w:noProof/>
          <w:color w:val="2E74B5" w:themeColor="accent1" w:themeShade="BF"/>
          <w:sz w:val="24"/>
          <w:szCs w:val="24"/>
        </w:rPr>
        <w:t>se</w:t>
      </w:r>
      <w:r w:rsidR="0029773F" w:rsidRPr="0090693E">
        <w:rPr>
          <w:rFonts w:ascii="Arial" w:hAnsi="Arial" w:cs="Arial"/>
          <w:noProof/>
          <w:color w:val="2E74B5" w:themeColor="accent1" w:themeShade="BF"/>
          <w:sz w:val="24"/>
          <w:szCs w:val="24"/>
        </w:rPr>
        <w:t xml:space="preserve"> aprecia que el sujeto obligado adjuntó acuerdo pronunciado por el Comité de Transparencia del Poder Judicial del Estado, respecto a sus solicitudes de informacion formuladas a traves  de la Plata</w:t>
      </w:r>
      <w:r w:rsidRPr="0090693E">
        <w:rPr>
          <w:rFonts w:ascii="Arial" w:hAnsi="Arial" w:cs="Arial"/>
          <w:noProof/>
          <w:color w:val="2E74B5" w:themeColor="accent1" w:themeShade="BF"/>
          <w:sz w:val="24"/>
          <w:szCs w:val="24"/>
        </w:rPr>
        <w:t>forma Nacional de Transparencia, del cual se desprende un archivo adjunto que contiene el acuerdo decreta la duplicidad del término legal para el trámite de las solicitudes recibidas mediante la Plataforma Nacional de Transparencia.</w:t>
      </w:r>
    </w:p>
    <w:p w:rsidR="001638BD" w:rsidRPr="0090693E" w:rsidRDefault="001638BD" w:rsidP="0090693E">
      <w:pPr>
        <w:tabs>
          <w:tab w:val="left" w:pos="8789"/>
        </w:tabs>
        <w:autoSpaceDE w:val="0"/>
        <w:autoSpaceDN w:val="0"/>
        <w:adjustRightInd w:val="0"/>
        <w:spacing w:after="0"/>
        <w:ind w:firstLine="567"/>
        <w:jc w:val="both"/>
        <w:rPr>
          <w:rFonts w:ascii="Arial" w:eastAsia="Arial Unicode MS" w:hAnsi="Arial" w:cs="Arial"/>
          <w:color w:val="2E74B5" w:themeColor="accent1" w:themeShade="BF"/>
          <w:sz w:val="24"/>
          <w:szCs w:val="24"/>
          <w:lang w:val="es-ES_tradnl"/>
        </w:rPr>
      </w:pPr>
      <w:r w:rsidRPr="0090693E">
        <w:rPr>
          <w:rFonts w:ascii="Arial" w:hAnsi="Arial" w:cs="Arial"/>
          <w:color w:val="2E74B5" w:themeColor="accent1" w:themeShade="BF"/>
          <w:sz w:val="24"/>
          <w:szCs w:val="24"/>
        </w:rPr>
        <w:t xml:space="preserve">Ahora bien, previo al análisis de fondo se trae a contexto los siguientes preceptos de la </w:t>
      </w:r>
      <w:r w:rsidRPr="0090693E">
        <w:rPr>
          <w:rFonts w:ascii="Arial" w:eastAsia="Arial Unicode MS" w:hAnsi="Arial" w:cs="Arial"/>
          <w:color w:val="2E74B5" w:themeColor="accent1" w:themeShade="BF"/>
          <w:sz w:val="24"/>
          <w:szCs w:val="24"/>
          <w:lang w:val="es-ES_tradnl"/>
        </w:rPr>
        <w:t>Ley de Transparencia y Acceso a la Información Pública del Estado de San Luis Potosí:</w:t>
      </w:r>
    </w:p>
    <w:p w:rsidR="001638BD" w:rsidRPr="0090693E" w:rsidRDefault="001638BD" w:rsidP="0090693E">
      <w:pPr>
        <w:tabs>
          <w:tab w:val="left" w:pos="8789"/>
        </w:tabs>
        <w:autoSpaceDE w:val="0"/>
        <w:autoSpaceDN w:val="0"/>
        <w:adjustRightInd w:val="0"/>
        <w:spacing w:after="0"/>
        <w:ind w:firstLine="567"/>
        <w:rPr>
          <w:rFonts w:ascii="Arial" w:hAnsi="Arial" w:cs="Arial"/>
          <w:color w:val="2E74B5" w:themeColor="accent1" w:themeShade="BF"/>
          <w:sz w:val="24"/>
          <w:szCs w:val="24"/>
        </w:rPr>
      </w:pPr>
    </w:p>
    <w:p w:rsidR="001638BD" w:rsidRPr="0090693E" w:rsidRDefault="001638BD" w:rsidP="0090693E">
      <w:pPr>
        <w:tabs>
          <w:tab w:val="left" w:pos="7371"/>
        </w:tabs>
        <w:spacing w:after="0"/>
        <w:ind w:right="50" w:firstLine="567"/>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1638BD" w:rsidRPr="0090693E" w:rsidRDefault="001638BD" w:rsidP="0090693E">
      <w:pPr>
        <w:tabs>
          <w:tab w:val="left" w:pos="7371"/>
        </w:tabs>
        <w:spacing w:after="0"/>
        <w:ind w:right="1183" w:firstLine="567"/>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 </w:t>
      </w:r>
    </w:p>
    <w:p w:rsidR="001638BD" w:rsidRPr="0090693E" w:rsidRDefault="001638BD" w:rsidP="0090693E">
      <w:pPr>
        <w:tabs>
          <w:tab w:val="left" w:pos="8789"/>
        </w:tabs>
        <w:spacing w:after="0"/>
        <w:ind w:right="50" w:firstLine="567"/>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En el caso de que la información solicitada consista en bases de datos se deberá privilegiar la entrega de la misma en Formatos Abiertos...”</w:t>
      </w:r>
    </w:p>
    <w:p w:rsidR="001638BD" w:rsidRPr="0090693E" w:rsidRDefault="001638BD" w:rsidP="0090693E">
      <w:pPr>
        <w:tabs>
          <w:tab w:val="left" w:pos="8789"/>
        </w:tabs>
        <w:spacing w:after="0"/>
        <w:ind w:right="50" w:firstLine="567"/>
        <w:jc w:val="both"/>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567"/>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p w:rsidR="001638BD" w:rsidRPr="0090693E" w:rsidRDefault="001638BD" w:rsidP="0090693E">
      <w:pPr>
        <w:tabs>
          <w:tab w:val="left" w:pos="7371"/>
        </w:tabs>
        <w:spacing w:after="0"/>
        <w:ind w:left="1134" w:right="1183"/>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“…ARTÍCULO 154. La respuesta a la solicitud deberá ser notificada al interesado en el menor tiempo posible, que no podrá exceder de diez días, contados a partir del día siguiente a la presentación de aquélla. </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 </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 xml:space="preserve"> </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0"/>
          <w:szCs w:val="20"/>
        </w:rPr>
      </w:pPr>
      <w:r w:rsidRPr="0090693E">
        <w:rPr>
          <w:rFonts w:ascii="Arial" w:hAnsi="Arial" w:cs="Arial"/>
          <w:color w:val="2E74B5" w:themeColor="accent1" w:themeShade="BF"/>
          <w:sz w:val="20"/>
          <w:szCs w:val="20"/>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4"/>
          <w:szCs w:val="24"/>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“…ARTÍCULO 155. El acceso se dará en la modalidad de entrega y, en su caso, de envío elegidos por el solicitante. Cuando la información no pueda entregarse o enviarse en la modalidad elegida, el sujeto obligado deberá ofrecer otra u otras modalidades de entrega.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En cualquier caso, se deberá fundar y motivar la necesidad de ofrecer otras modalidades...”</w:t>
      </w:r>
    </w:p>
    <w:p w:rsidR="001638BD" w:rsidRPr="0090693E" w:rsidRDefault="001638BD" w:rsidP="0090693E">
      <w:pPr>
        <w:tabs>
          <w:tab w:val="left" w:pos="8789"/>
        </w:tabs>
        <w:spacing w:after="0"/>
        <w:ind w:right="50" w:firstLine="426"/>
        <w:jc w:val="both"/>
        <w:rPr>
          <w:rFonts w:ascii="Arial" w:hAnsi="Arial" w:cs="Arial"/>
          <w:color w:val="2E74B5" w:themeColor="accent1" w:themeShade="BF"/>
          <w:sz w:val="24"/>
          <w:szCs w:val="24"/>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“…ARTÍCULO 165. En caso de existir costos para obtener la información, deberán cubrirse de manera previa a la entrega y no podrán ser superiores a la suma de: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 El costo de los materiales utilizados en la reproducción de la información;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II. El costo de envío, en su caso, y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III. El pago de la certificación de los Documentos, cuando proceda. Tratándose de la reproducción en medios magnéticos, si el solicitante aporta el medio en el que será almacenada la información, la reproducción será totalmente gratuita.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Los sujetos obligados llevarán a cabo la reproducción y/o envío de la información solicitada, previo pago de los derechos correspondientes. La información deberá ser entregada sin costo, cuando implique la entrega de no más de veinte hojas simples. </w:t>
      </w: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Las unidades de transparencia podrán exceptuar el pago de reproducción y envío atendiendo a las circunstancias socioeconómicas del solicitante. Ante la falta de respuesta a una solicitud en el plazo previsto y en caso de que proceda el acceso, los costos de reproducción y envío correrán a cargo del sujeto obligado. </w:t>
      </w:r>
    </w:p>
    <w:p w:rsidR="001638BD" w:rsidRPr="0090693E" w:rsidRDefault="001638BD" w:rsidP="0090693E">
      <w:pPr>
        <w:tabs>
          <w:tab w:val="left" w:pos="7371"/>
        </w:tabs>
        <w:spacing w:after="0"/>
        <w:ind w:left="1134" w:right="1183"/>
        <w:rPr>
          <w:rFonts w:ascii="Arial" w:hAnsi="Arial" w:cs="Arial"/>
          <w:i/>
          <w:color w:val="2E74B5" w:themeColor="accent1" w:themeShade="BF"/>
          <w:sz w:val="20"/>
          <w:szCs w:val="20"/>
        </w:rPr>
      </w:pPr>
    </w:p>
    <w:p w:rsidR="001638BD" w:rsidRPr="0090693E" w:rsidRDefault="001638BD" w:rsidP="0090693E">
      <w:pPr>
        <w:tabs>
          <w:tab w:val="left" w:pos="8789"/>
        </w:tabs>
        <w:spacing w:after="0"/>
        <w:ind w:right="50"/>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establecerán la obligación de fijar una cuenta bancaria única y exclusivamente para que el solicitante realice el pago íntegro del costo de la información que solicitó…”.</w:t>
      </w:r>
    </w:p>
    <w:p w:rsidR="001638BD" w:rsidRPr="0090693E" w:rsidRDefault="001638BD" w:rsidP="0090693E">
      <w:pPr>
        <w:spacing w:after="0"/>
        <w:rPr>
          <w:rFonts w:ascii="Arial" w:hAnsi="Arial" w:cs="Arial"/>
          <w:color w:val="2E74B5" w:themeColor="accent1" w:themeShade="BF"/>
          <w:sz w:val="24"/>
          <w:szCs w:val="24"/>
        </w:rPr>
      </w:pPr>
    </w:p>
    <w:p w:rsidR="001638BD" w:rsidRPr="0090693E" w:rsidRDefault="001638BD" w:rsidP="00BB321B">
      <w:pPr>
        <w:spacing w:after="0"/>
        <w:ind w:firstLine="708"/>
        <w:jc w:val="both"/>
        <w:rPr>
          <w:rFonts w:ascii="Arial" w:hAnsi="Arial" w:cs="Arial"/>
          <w:color w:val="2E74B5" w:themeColor="accent1" w:themeShade="BF"/>
          <w:sz w:val="24"/>
        </w:rPr>
      </w:pPr>
      <w:r w:rsidRPr="0090693E">
        <w:rPr>
          <w:rFonts w:ascii="Arial" w:hAnsi="Arial" w:cs="Arial"/>
          <w:color w:val="2E74B5" w:themeColor="accent1" w:themeShade="BF"/>
          <w:sz w:val="24"/>
        </w:rPr>
        <w:t>De los numerales anteriormente trascritos,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1638BD" w:rsidRPr="0090693E" w:rsidRDefault="001638BD" w:rsidP="0090693E">
      <w:pPr>
        <w:pStyle w:val="NormalWeb"/>
        <w:shd w:val="clear" w:color="auto" w:fill="FFFFFF"/>
        <w:spacing w:before="0" w:beforeAutospacing="0" w:after="0" w:afterAutospacing="0" w:line="276" w:lineRule="auto"/>
        <w:jc w:val="both"/>
        <w:rPr>
          <w:rFonts w:ascii="Arial" w:hAnsi="Arial" w:cs="Arial"/>
          <w:color w:val="2E74B5" w:themeColor="accent1" w:themeShade="BF"/>
        </w:rPr>
      </w:pPr>
    </w:p>
    <w:p w:rsidR="001638BD" w:rsidRPr="0090693E" w:rsidRDefault="001638BD" w:rsidP="00BB321B">
      <w:pPr>
        <w:pStyle w:val="NormalWeb"/>
        <w:shd w:val="clear" w:color="auto" w:fill="FFFFFF"/>
        <w:spacing w:before="0" w:beforeAutospacing="0" w:after="0" w:afterAutospacing="0" w:line="276" w:lineRule="auto"/>
        <w:ind w:firstLine="708"/>
        <w:jc w:val="both"/>
        <w:rPr>
          <w:rFonts w:ascii="Arial" w:hAnsi="Arial" w:cs="Arial"/>
          <w:color w:val="2E74B5" w:themeColor="accent1" w:themeShade="BF"/>
        </w:rPr>
      </w:pPr>
      <w:r w:rsidRPr="0090693E">
        <w:rPr>
          <w:rFonts w:ascii="Arial" w:hAnsi="Arial" w:cs="Arial"/>
          <w:color w:val="2E74B5" w:themeColor="accent1" w:themeShade="BF"/>
        </w:rPr>
        <w:t xml:space="preserve">En segundo término, la obligación de turnar la solicitud de información a todas las unidades administrativas, con base en las competencias y funciones de </w:t>
      </w:r>
      <w:r w:rsidRPr="0090693E">
        <w:rPr>
          <w:rFonts w:ascii="Arial" w:hAnsi="Arial" w:cs="Arial"/>
          <w:color w:val="2E74B5" w:themeColor="accent1" w:themeShade="BF"/>
        </w:rPr>
        <w:lastRenderedPageBreak/>
        <w:t>dichas áreas, a fin de que realicen una búsqueda minuciosa en sus archivos tanto físicos como electrónicos.</w:t>
      </w:r>
    </w:p>
    <w:p w:rsidR="001638BD" w:rsidRPr="0090693E" w:rsidRDefault="001638BD" w:rsidP="0090693E">
      <w:pPr>
        <w:pStyle w:val="NormalWeb"/>
        <w:shd w:val="clear" w:color="auto" w:fill="FFFFFF"/>
        <w:spacing w:before="0" w:beforeAutospacing="0" w:after="0" w:afterAutospacing="0" w:line="276" w:lineRule="auto"/>
        <w:jc w:val="both"/>
        <w:rPr>
          <w:rFonts w:ascii="Arial" w:hAnsi="Arial" w:cs="Arial"/>
          <w:color w:val="2E74B5" w:themeColor="accent1" w:themeShade="BF"/>
        </w:rPr>
      </w:pPr>
      <w:r w:rsidRPr="0090693E">
        <w:rPr>
          <w:rFonts w:ascii="Arial" w:hAnsi="Arial" w:cs="Arial"/>
          <w:color w:val="2E74B5" w:themeColor="accent1" w:themeShade="BF"/>
        </w:rPr>
        <w:t> </w:t>
      </w:r>
    </w:p>
    <w:p w:rsidR="001638BD" w:rsidRPr="0090693E" w:rsidRDefault="001638BD" w:rsidP="00BB321B">
      <w:pPr>
        <w:pStyle w:val="NormalWeb"/>
        <w:shd w:val="clear" w:color="auto" w:fill="FFFFFF"/>
        <w:spacing w:before="0" w:beforeAutospacing="0" w:after="0" w:afterAutospacing="0" w:line="276" w:lineRule="auto"/>
        <w:ind w:firstLine="708"/>
        <w:jc w:val="both"/>
        <w:rPr>
          <w:rFonts w:ascii="Arial" w:hAnsi="Arial" w:cs="Arial"/>
          <w:color w:val="2E74B5" w:themeColor="accent1" w:themeShade="BF"/>
        </w:rPr>
      </w:pPr>
      <w:r w:rsidRPr="0090693E">
        <w:rPr>
          <w:rFonts w:ascii="Arial" w:hAnsi="Arial" w:cs="Arial"/>
          <w:color w:val="2E74B5" w:themeColor="accent1" w:themeShade="BF"/>
        </w:rPr>
        <w:t>Además, se establece el deber del sujeto obligado de dar respuesta a la solicitud, en un lapso máximo de diez días a partir de que se solicitó la información, pudiéndose ampliar el plazo, previa aprobación del Comité de Transparencia.</w:t>
      </w:r>
    </w:p>
    <w:p w:rsidR="001638BD" w:rsidRPr="0090693E" w:rsidRDefault="001638BD" w:rsidP="0090693E">
      <w:pPr>
        <w:pStyle w:val="NormalWeb"/>
        <w:shd w:val="clear" w:color="auto" w:fill="FFFFFF"/>
        <w:spacing w:before="0" w:beforeAutospacing="0" w:after="0" w:afterAutospacing="0" w:line="276" w:lineRule="auto"/>
        <w:jc w:val="both"/>
        <w:rPr>
          <w:rFonts w:ascii="Arial" w:hAnsi="Arial" w:cs="Arial"/>
          <w:color w:val="2E74B5" w:themeColor="accent1" w:themeShade="BF"/>
        </w:rPr>
      </w:pPr>
    </w:p>
    <w:p w:rsidR="001638BD" w:rsidRPr="0090693E" w:rsidRDefault="001638BD" w:rsidP="00BB321B">
      <w:pPr>
        <w:pStyle w:val="NormalWeb"/>
        <w:shd w:val="clear" w:color="auto" w:fill="FFFFFF"/>
        <w:spacing w:before="0" w:beforeAutospacing="0" w:after="0" w:afterAutospacing="0" w:line="276" w:lineRule="auto"/>
        <w:ind w:firstLine="708"/>
        <w:jc w:val="both"/>
        <w:rPr>
          <w:rFonts w:ascii="Arial" w:hAnsi="Arial" w:cs="Arial"/>
          <w:color w:val="2E74B5" w:themeColor="accent1" w:themeShade="BF"/>
        </w:rPr>
      </w:pPr>
      <w:r w:rsidRPr="0090693E">
        <w:rPr>
          <w:rFonts w:ascii="Arial" w:hAnsi="Arial" w:cs="Arial"/>
          <w:color w:val="2E74B5" w:themeColor="accent1" w:themeShade="BF"/>
        </w:rPr>
        <w:t xml:space="preserve">Asimismo, se establece que el acceso a la información se deberá de otorgar en la modalidad elegida por el solicitante, ya que de ser el caso de que la información no se pueda entregar en la modalidad elegida, el sujeto obligado deberá ofrecer otra u otras modalidades de entrega, de manera fundada y motivada. </w:t>
      </w:r>
    </w:p>
    <w:p w:rsidR="001638BD" w:rsidRPr="0090693E" w:rsidRDefault="001638BD" w:rsidP="0090693E">
      <w:pPr>
        <w:pStyle w:val="NormalWeb"/>
        <w:shd w:val="clear" w:color="auto" w:fill="FFFFFF"/>
        <w:spacing w:before="0" w:beforeAutospacing="0" w:after="0" w:afterAutospacing="0" w:line="276" w:lineRule="auto"/>
        <w:jc w:val="both"/>
        <w:rPr>
          <w:rFonts w:ascii="Arial" w:hAnsi="Arial" w:cs="Arial"/>
          <w:color w:val="2E74B5" w:themeColor="accent1" w:themeShade="BF"/>
        </w:rPr>
      </w:pPr>
    </w:p>
    <w:p w:rsidR="001638BD" w:rsidRPr="0090693E" w:rsidRDefault="001638BD" w:rsidP="00BB321B">
      <w:pPr>
        <w:pStyle w:val="NormalWeb"/>
        <w:shd w:val="clear" w:color="auto" w:fill="FFFFFF"/>
        <w:spacing w:before="0" w:beforeAutospacing="0" w:after="0" w:afterAutospacing="0" w:line="276" w:lineRule="auto"/>
        <w:ind w:firstLine="708"/>
        <w:jc w:val="both"/>
        <w:rPr>
          <w:rFonts w:ascii="Arial" w:hAnsi="Arial" w:cs="Arial"/>
          <w:color w:val="2E74B5" w:themeColor="accent1" w:themeShade="BF"/>
        </w:rPr>
      </w:pPr>
      <w:r w:rsidRPr="0090693E">
        <w:rPr>
          <w:rFonts w:ascii="Arial" w:hAnsi="Arial" w:cs="Arial"/>
          <w:color w:val="2E74B5" w:themeColor="accent1" w:themeShade="BF"/>
        </w:rPr>
        <w:t>Por último, en caso de existir costo para obtener la información, éstos se deberán de cubrir de manera previa a la entrega de la información y no podrán ser mayores al costo del material utilizado en la reproducción de la información, el costo de envío y el pago de certificación de los documentos cuando se proceda.</w:t>
      </w:r>
    </w:p>
    <w:p w:rsidR="001638BD" w:rsidRPr="0090693E" w:rsidRDefault="001638BD" w:rsidP="0090693E">
      <w:pPr>
        <w:pStyle w:val="NormalWeb"/>
        <w:shd w:val="clear" w:color="auto" w:fill="FFFFFF"/>
        <w:spacing w:before="0" w:beforeAutospacing="0" w:after="0" w:afterAutospacing="0" w:line="276" w:lineRule="auto"/>
        <w:jc w:val="both"/>
        <w:rPr>
          <w:rFonts w:ascii="Arial" w:hAnsi="Arial" w:cs="Arial"/>
          <w:color w:val="2E74B5" w:themeColor="accent1" w:themeShade="BF"/>
        </w:rPr>
      </w:pPr>
    </w:p>
    <w:p w:rsidR="001638BD" w:rsidRPr="0090693E" w:rsidRDefault="001638BD" w:rsidP="00BB321B">
      <w:pPr>
        <w:spacing w:after="0"/>
        <w:ind w:firstLine="360"/>
        <w:jc w:val="both"/>
        <w:rPr>
          <w:rFonts w:ascii="Arial" w:hAnsi="Arial" w:cs="Arial"/>
          <w:color w:val="2E74B5" w:themeColor="accent1" w:themeShade="BF"/>
          <w:sz w:val="24"/>
        </w:rPr>
      </w:pPr>
      <w:r w:rsidRPr="0090693E">
        <w:rPr>
          <w:rFonts w:ascii="Arial" w:hAnsi="Arial" w:cs="Arial"/>
          <w:color w:val="2E74B5" w:themeColor="accent1" w:themeShade="BF"/>
          <w:sz w:val="24"/>
        </w:rPr>
        <w:t xml:space="preserve">Dicho lo anterior es dable colegir que la presente Resolución tiene por objeto determinar lo siguiente: </w:t>
      </w:r>
    </w:p>
    <w:p w:rsidR="001638BD" w:rsidRPr="0090693E" w:rsidRDefault="00864E8E" w:rsidP="0090693E">
      <w:pPr>
        <w:pStyle w:val="corte4fondo"/>
        <w:numPr>
          <w:ilvl w:val="0"/>
          <w:numId w:val="12"/>
        </w:numPr>
        <w:spacing w:line="276" w:lineRule="auto"/>
        <w:ind w:right="49"/>
        <w:rPr>
          <w:rFonts w:cs="Arial"/>
          <w:color w:val="2E74B5" w:themeColor="accent1" w:themeShade="BF"/>
          <w:sz w:val="24"/>
        </w:rPr>
      </w:pPr>
      <w:r w:rsidRPr="0090693E">
        <w:rPr>
          <w:rFonts w:cs="Arial"/>
          <w:color w:val="2E74B5" w:themeColor="accent1" w:themeShade="BF"/>
          <w:sz w:val="24"/>
        </w:rPr>
        <w:t xml:space="preserve">Determinar </w:t>
      </w:r>
      <w:r w:rsidRPr="0090693E">
        <w:rPr>
          <w:rFonts w:cs="Arial"/>
          <w:color w:val="2E74B5" w:themeColor="accent1" w:themeShade="BF"/>
          <w:sz w:val="24"/>
          <w:szCs w:val="24"/>
        </w:rPr>
        <w:t xml:space="preserve">si en el derecho de acceso efectuado en la solicitud de folio </w:t>
      </w:r>
      <w:r w:rsidRPr="0090693E">
        <w:rPr>
          <w:rFonts w:cs="Arial"/>
          <w:b/>
          <w:color w:val="2E74B5" w:themeColor="accent1" w:themeShade="BF"/>
          <w:sz w:val="24"/>
          <w:szCs w:val="24"/>
        </w:rPr>
        <w:t>00734318</w:t>
      </w:r>
      <w:r w:rsidRPr="0090693E">
        <w:rPr>
          <w:rFonts w:cs="Arial"/>
          <w:color w:val="2E74B5" w:themeColor="accent1" w:themeShade="BF"/>
          <w:sz w:val="24"/>
          <w:szCs w:val="24"/>
        </w:rPr>
        <w:t>, se ajustó a los principios que rigen en materia de transparencia y acceso a la información pública, es decir, verificar en el procedimiento de acceso que se examina, se haya sustanciado de manera sencilla y expedita, ello así en virtud de la acumulación efectuada por la autoridad.</w:t>
      </w:r>
    </w:p>
    <w:p w:rsidR="001638BD" w:rsidRPr="0090693E" w:rsidRDefault="001638BD" w:rsidP="0090693E">
      <w:pPr>
        <w:pStyle w:val="corte4fondo"/>
        <w:numPr>
          <w:ilvl w:val="0"/>
          <w:numId w:val="12"/>
        </w:numPr>
        <w:spacing w:line="276" w:lineRule="auto"/>
        <w:ind w:right="49"/>
        <w:rPr>
          <w:rFonts w:cs="Arial"/>
          <w:color w:val="2E74B5" w:themeColor="accent1" w:themeShade="BF"/>
          <w:sz w:val="24"/>
          <w:szCs w:val="24"/>
        </w:rPr>
      </w:pPr>
      <w:r w:rsidRPr="0090693E">
        <w:rPr>
          <w:rFonts w:cs="Arial"/>
          <w:color w:val="2E74B5" w:themeColor="accent1" w:themeShade="BF"/>
          <w:sz w:val="24"/>
          <w:szCs w:val="24"/>
        </w:rPr>
        <w:t>Verificar si la respuesta emitida por el Sujeto Obligado, se emitió dentro del término que señala el artículo 154 de la Ley de Transparencia Local.</w:t>
      </w:r>
    </w:p>
    <w:p w:rsidR="00C1165D" w:rsidRPr="0090693E" w:rsidRDefault="00C1165D" w:rsidP="0090693E">
      <w:pPr>
        <w:pStyle w:val="corte4fondo"/>
        <w:tabs>
          <w:tab w:val="left" w:pos="567"/>
        </w:tabs>
        <w:spacing w:line="276" w:lineRule="auto"/>
        <w:rPr>
          <w:rFonts w:cs="Arial"/>
          <w:noProof/>
          <w:color w:val="2E74B5" w:themeColor="accent1" w:themeShade="BF"/>
          <w:sz w:val="24"/>
          <w:szCs w:val="24"/>
        </w:rPr>
      </w:pPr>
    </w:p>
    <w:p w:rsidR="00C1165D" w:rsidRPr="0090693E" w:rsidRDefault="00C1165D" w:rsidP="0090693E">
      <w:pPr>
        <w:pStyle w:val="corte4fondo"/>
        <w:tabs>
          <w:tab w:val="left" w:pos="567"/>
        </w:tabs>
        <w:spacing w:line="276" w:lineRule="auto"/>
        <w:rPr>
          <w:rFonts w:cs="Arial"/>
          <w:b/>
          <w:color w:val="2E74B5" w:themeColor="accent1" w:themeShade="BF"/>
          <w:sz w:val="24"/>
          <w:szCs w:val="24"/>
        </w:rPr>
      </w:pPr>
      <w:r w:rsidRPr="0090693E">
        <w:rPr>
          <w:rFonts w:cs="Arial"/>
          <w:b/>
          <w:color w:val="2E74B5" w:themeColor="accent1" w:themeShade="BF"/>
          <w:sz w:val="24"/>
          <w:szCs w:val="24"/>
        </w:rPr>
        <w:t>6.1.</w:t>
      </w:r>
      <w:r w:rsidR="00BB321B">
        <w:rPr>
          <w:rFonts w:cs="Arial"/>
          <w:b/>
          <w:color w:val="2E74B5" w:themeColor="accent1" w:themeShade="BF"/>
          <w:sz w:val="24"/>
          <w:szCs w:val="24"/>
        </w:rPr>
        <w:t>2</w:t>
      </w:r>
      <w:r w:rsidRPr="0090693E">
        <w:rPr>
          <w:rFonts w:cs="Arial"/>
          <w:b/>
          <w:color w:val="2E74B5" w:themeColor="accent1" w:themeShade="BF"/>
          <w:sz w:val="24"/>
          <w:szCs w:val="24"/>
        </w:rPr>
        <w:t>. Informe del sujeto obligado.</w:t>
      </w:r>
    </w:p>
    <w:p w:rsidR="00C1165D" w:rsidRPr="0090693E" w:rsidRDefault="00C1165D" w:rsidP="0090693E">
      <w:pPr>
        <w:pStyle w:val="corte4fondo"/>
        <w:tabs>
          <w:tab w:val="left" w:pos="567"/>
        </w:tabs>
        <w:spacing w:line="276" w:lineRule="auto"/>
        <w:rPr>
          <w:rFonts w:cs="Arial"/>
          <w:b/>
          <w:color w:val="2E74B5" w:themeColor="accent1" w:themeShade="BF"/>
          <w:sz w:val="24"/>
          <w:szCs w:val="24"/>
        </w:rPr>
      </w:pPr>
    </w:p>
    <w:p w:rsidR="00AF701E" w:rsidRPr="0090693E" w:rsidRDefault="00C1165D"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En el informe que rindió la autoridad ante esta Comisión, </w:t>
      </w:r>
      <w:r w:rsidR="00AF701E" w:rsidRPr="0090693E">
        <w:rPr>
          <w:rFonts w:cs="Arial"/>
          <w:color w:val="2E74B5" w:themeColor="accent1" w:themeShade="BF"/>
          <w:sz w:val="24"/>
          <w:szCs w:val="24"/>
        </w:rPr>
        <w:t>a través de los oficios UIP/792</w:t>
      </w:r>
      <w:r w:rsidRPr="0090693E">
        <w:rPr>
          <w:rFonts w:cs="Arial"/>
          <w:color w:val="2E74B5" w:themeColor="accent1" w:themeShade="BF"/>
          <w:sz w:val="24"/>
          <w:szCs w:val="24"/>
        </w:rPr>
        <w:t>/2018 y UIP/79</w:t>
      </w:r>
      <w:r w:rsidR="00AF701E" w:rsidRPr="0090693E">
        <w:rPr>
          <w:rFonts w:cs="Arial"/>
          <w:color w:val="2E74B5" w:themeColor="accent1" w:themeShade="BF"/>
          <w:sz w:val="24"/>
          <w:szCs w:val="24"/>
        </w:rPr>
        <w:t>1</w:t>
      </w:r>
      <w:r w:rsidRPr="0090693E">
        <w:rPr>
          <w:rFonts w:cs="Arial"/>
          <w:color w:val="2E74B5" w:themeColor="accent1" w:themeShade="BF"/>
          <w:sz w:val="24"/>
          <w:szCs w:val="24"/>
        </w:rPr>
        <w:t xml:space="preserve">/2018 manifestó en el apartado de sus Alegatos y Derechos sobre las consideraciones de fondo esta Comisión </w:t>
      </w:r>
      <w:r w:rsidR="00AF701E" w:rsidRPr="0090693E">
        <w:rPr>
          <w:rFonts w:cs="Arial"/>
          <w:color w:val="2E74B5" w:themeColor="accent1" w:themeShade="BF"/>
          <w:sz w:val="24"/>
          <w:szCs w:val="24"/>
        </w:rPr>
        <w:t>que la información motivo de inquietud del peticionario, mediante el oficio UIP/725/2018 emitido por esta Unidad de Transparencia se puso del conocimiento el oficio DGRF-1515/2018 al cual se acompañó a 3 anexos que consisten en 12 doce fojas, signado por la Directora de Recursos Financieros, mediante el cual cita que le fueron notificados a través de la cuenta de correo electrónico que el recurrente señaló en la Plataforma Nacional de Transparencia.</w:t>
      </w:r>
    </w:p>
    <w:p w:rsidR="00AF701E" w:rsidRPr="0090693E" w:rsidRDefault="00AF701E" w:rsidP="0090693E">
      <w:pPr>
        <w:pStyle w:val="corte4fondo"/>
        <w:tabs>
          <w:tab w:val="left" w:pos="567"/>
        </w:tabs>
        <w:spacing w:line="276" w:lineRule="auto"/>
        <w:rPr>
          <w:rFonts w:cs="Arial"/>
          <w:color w:val="2E74B5" w:themeColor="accent1" w:themeShade="BF"/>
          <w:sz w:val="24"/>
          <w:szCs w:val="24"/>
        </w:rPr>
      </w:pPr>
    </w:p>
    <w:p w:rsidR="00C1165D" w:rsidRPr="0090693E" w:rsidRDefault="00AF701E"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Del mismo modo, </w:t>
      </w:r>
      <w:r w:rsidR="00C1165D" w:rsidRPr="0090693E">
        <w:rPr>
          <w:rFonts w:cs="Arial"/>
          <w:color w:val="2E74B5" w:themeColor="accent1" w:themeShade="BF"/>
          <w:sz w:val="24"/>
          <w:szCs w:val="24"/>
        </w:rPr>
        <w:t xml:space="preserve">el sujeto obligado reitera en sus términos la respuesta otorgada al peticionario mediante oficios </w:t>
      </w:r>
      <w:r w:rsidR="00C1165D" w:rsidRPr="0090693E">
        <w:rPr>
          <w:rFonts w:cs="Arial"/>
          <w:noProof/>
          <w:color w:val="2E74B5" w:themeColor="accent1" w:themeShade="BF"/>
          <w:sz w:val="24"/>
          <w:szCs w:val="24"/>
        </w:rPr>
        <w:t xml:space="preserve">UIP </w:t>
      </w:r>
      <w:r w:rsidRPr="0090693E">
        <w:rPr>
          <w:rFonts w:cs="Arial"/>
          <w:noProof/>
          <w:color w:val="2E74B5" w:themeColor="accent1" w:themeShade="BF"/>
          <w:sz w:val="24"/>
          <w:szCs w:val="24"/>
        </w:rPr>
        <w:t>725</w:t>
      </w:r>
      <w:r w:rsidR="00C1165D" w:rsidRPr="0090693E">
        <w:rPr>
          <w:rFonts w:cs="Arial"/>
          <w:noProof/>
          <w:color w:val="2E74B5" w:themeColor="accent1" w:themeShade="BF"/>
          <w:sz w:val="24"/>
          <w:szCs w:val="24"/>
        </w:rPr>
        <w:t xml:space="preserve">/2018 y </w:t>
      </w:r>
      <w:r w:rsidRPr="0090693E">
        <w:rPr>
          <w:rFonts w:cs="Arial"/>
          <w:noProof/>
          <w:color w:val="2E74B5" w:themeColor="accent1" w:themeShade="BF"/>
          <w:sz w:val="24"/>
          <w:szCs w:val="24"/>
        </w:rPr>
        <w:t>DGRF-1515</w:t>
      </w:r>
      <w:r w:rsidR="00C1165D" w:rsidRPr="0090693E">
        <w:rPr>
          <w:rFonts w:cs="Arial"/>
          <w:noProof/>
          <w:color w:val="2E74B5" w:themeColor="accent1" w:themeShade="BF"/>
          <w:sz w:val="24"/>
          <w:szCs w:val="24"/>
        </w:rPr>
        <w:t>/2018.</w:t>
      </w:r>
      <w:r w:rsidR="00C1165D" w:rsidRPr="0090693E">
        <w:rPr>
          <w:rFonts w:cs="Arial"/>
          <w:color w:val="2E74B5" w:themeColor="accent1" w:themeShade="BF"/>
          <w:sz w:val="24"/>
          <w:szCs w:val="24"/>
        </w:rPr>
        <w:t xml:space="preserve"> </w:t>
      </w:r>
    </w:p>
    <w:p w:rsidR="00666B97" w:rsidRPr="0090693E" w:rsidRDefault="00666B97" w:rsidP="0090693E">
      <w:pPr>
        <w:pStyle w:val="corte4fondo"/>
        <w:tabs>
          <w:tab w:val="left" w:pos="567"/>
        </w:tabs>
        <w:spacing w:line="276" w:lineRule="auto"/>
        <w:ind w:firstLine="0"/>
        <w:rPr>
          <w:rFonts w:cs="Arial"/>
          <w:b/>
          <w:color w:val="2E74B5" w:themeColor="accent1" w:themeShade="BF"/>
          <w:sz w:val="24"/>
          <w:szCs w:val="24"/>
        </w:rPr>
      </w:pPr>
    </w:p>
    <w:p w:rsidR="00666B97" w:rsidRPr="0090693E" w:rsidRDefault="00BB321B" w:rsidP="0090693E">
      <w:pPr>
        <w:pStyle w:val="corte4fondo"/>
        <w:tabs>
          <w:tab w:val="left" w:pos="567"/>
        </w:tabs>
        <w:spacing w:line="276" w:lineRule="auto"/>
        <w:ind w:firstLine="0"/>
        <w:rPr>
          <w:rFonts w:cs="Arial"/>
          <w:b/>
          <w:color w:val="2E74B5" w:themeColor="accent1" w:themeShade="BF"/>
          <w:sz w:val="24"/>
          <w:szCs w:val="24"/>
        </w:rPr>
      </w:pPr>
      <w:r>
        <w:rPr>
          <w:rFonts w:cs="Arial"/>
          <w:b/>
          <w:color w:val="2E74B5" w:themeColor="accent1" w:themeShade="BF"/>
          <w:sz w:val="24"/>
          <w:szCs w:val="24"/>
        </w:rPr>
        <w:tab/>
        <w:t>6.1.3</w:t>
      </w:r>
      <w:r w:rsidR="00666B97" w:rsidRPr="0090693E">
        <w:rPr>
          <w:rFonts w:cs="Arial"/>
          <w:b/>
          <w:color w:val="2E74B5" w:themeColor="accent1" w:themeShade="BF"/>
          <w:sz w:val="24"/>
          <w:szCs w:val="24"/>
        </w:rPr>
        <w:t>. Agravio fundado.</w:t>
      </w:r>
    </w:p>
    <w:p w:rsidR="00C1165D" w:rsidRPr="0090693E" w:rsidRDefault="00C1165D" w:rsidP="0090693E">
      <w:pPr>
        <w:pStyle w:val="corte4fondo"/>
        <w:tabs>
          <w:tab w:val="left" w:pos="567"/>
        </w:tabs>
        <w:spacing w:line="276" w:lineRule="auto"/>
        <w:rPr>
          <w:rFonts w:cs="Arial"/>
          <w:color w:val="2E74B5" w:themeColor="accent1" w:themeShade="BF"/>
          <w:sz w:val="24"/>
          <w:szCs w:val="24"/>
        </w:rPr>
      </w:pPr>
    </w:p>
    <w:p w:rsidR="00666B97" w:rsidRPr="0090693E" w:rsidRDefault="00666B97"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lastRenderedPageBreak/>
        <w:t>E</w:t>
      </w:r>
      <w:r w:rsidR="00AF701E" w:rsidRPr="0090693E">
        <w:rPr>
          <w:rFonts w:cs="Arial"/>
          <w:color w:val="2E74B5" w:themeColor="accent1" w:themeShade="BF"/>
          <w:sz w:val="24"/>
          <w:szCs w:val="24"/>
        </w:rPr>
        <w:t xml:space="preserve">s menester señalar que esta Unidad de Ponencia no advierte que de las constancias remitidas por la autoridad </w:t>
      </w:r>
      <w:r w:rsidR="00D6239E" w:rsidRPr="0090693E">
        <w:rPr>
          <w:rFonts w:cs="Arial"/>
          <w:color w:val="2E74B5" w:themeColor="accent1" w:themeShade="BF"/>
          <w:sz w:val="24"/>
          <w:szCs w:val="24"/>
        </w:rPr>
        <w:t>no se advierte que obre en autos ninguno de los oficios de respuesta, mismos que enunció en su informe, ello aunado a que la única constancia que se remitió como prueba es una impresión de pantalla de correo electrónico</w:t>
      </w:r>
      <w:r w:rsidRPr="0090693E">
        <w:rPr>
          <w:rFonts w:cs="Arial"/>
          <w:color w:val="2E74B5" w:themeColor="accent1" w:themeShade="BF"/>
          <w:sz w:val="24"/>
          <w:szCs w:val="24"/>
        </w:rPr>
        <w:t xml:space="preserve"> </w:t>
      </w:r>
      <w:r w:rsidRPr="0090693E">
        <w:rPr>
          <w:rFonts w:cs="Arial"/>
          <w:color w:val="2E74B5" w:themeColor="accent1" w:themeShade="BF"/>
          <w:sz w:val="24"/>
          <w:szCs w:val="24"/>
          <w:lang w:val="es-ES"/>
        </w:rPr>
        <w:t>enviado a la cuenta del solicitante</w:t>
      </w:r>
      <w:r w:rsidR="00D6239E" w:rsidRPr="0090693E">
        <w:rPr>
          <w:rFonts w:cs="Arial"/>
          <w:color w:val="2E74B5" w:themeColor="accent1" w:themeShade="BF"/>
          <w:sz w:val="24"/>
          <w:szCs w:val="24"/>
        </w:rPr>
        <w:t xml:space="preserve">, misma que obra en copia </w:t>
      </w:r>
      <w:r w:rsidRPr="0090693E">
        <w:rPr>
          <w:rFonts w:cs="Arial"/>
          <w:color w:val="2E74B5" w:themeColor="accent1" w:themeShade="BF"/>
          <w:sz w:val="24"/>
          <w:szCs w:val="24"/>
        </w:rPr>
        <w:t xml:space="preserve">fotostática </w:t>
      </w:r>
      <w:r w:rsidR="00D6239E" w:rsidRPr="0090693E">
        <w:rPr>
          <w:rFonts w:cs="Arial"/>
          <w:color w:val="2E74B5" w:themeColor="accent1" w:themeShade="BF"/>
          <w:sz w:val="24"/>
          <w:szCs w:val="24"/>
        </w:rPr>
        <w:t>simple</w:t>
      </w:r>
      <w:r w:rsidRPr="0090693E">
        <w:rPr>
          <w:rFonts w:cs="Arial"/>
          <w:color w:val="2E74B5" w:themeColor="accent1" w:themeShade="BF"/>
          <w:sz w:val="24"/>
          <w:szCs w:val="24"/>
        </w:rPr>
        <w:t xml:space="preserve"> y por tal no tiene valor probatorio pleno, precisamente porque al ser copia fotostática simple carece, por sí sola, de dicho valor, y por tal motivo sólo genera simple presunción de la existencia del documento reproducido, pero resulta insuficiente al no encontrarse adminiculada con diversos elementos probatorios para justificar el hecho o el derecho que se pretende demostrar.</w:t>
      </w:r>
    </w:p>
    <w:p w:rsidR="00666B97" w:rsidRPr="0090693E" w:rsidRDefault="00666B97" w:rsidP="0090693E">
      <w:pPr>
        <w:pStyle w:val="corte4fondo"/>
        <w:spacing w:line="276" w:lineRule="auto"/>
        <w:rPr>
          <w:rFonts w:cs="Arial"/>
          <w:color w:val="2E74B5" w:themeColor="accent1" w:themeShade="BF"/>
          <w:sz w:val="24"/>
          <w:szCs w:val="24"/>
          <w:highlight w:val="cyan"/>
        </w:rPr>
      </w:pPr>
    </w:p>
    <w:p w:rsidR="00666B97" w:rsidRPr="0090693E" w:rsidRDefault="00666B97" w:rsidP="0090693E">
      <w:pPr>
        <w:pStyle w:val="corte4fondo"/>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Por tanto, a juicio de esta Comisión Estatal de Garantía de Acceso a la Información Pública el sujeto obligado </w:t>
      </w:r>
      <w:r w:rsidRPr="0090693E">
        <w:rPr>
          <w:rFonts w:cs="Arial"/>
          <w:color w:val="2E74B5" w:themeColor="accent1" w:themeShade="BF"/>
          <w:sz w:val="24"/>
          <w:szCs w:val="24"/>
          <w:u w:val="single"/>
        </w:rPr>
        <w:t>al momento de que rindió su informe debió de acompañar los documentos que en copia fotostática certificada</w:t>
      </w:r>
      <w:r w:rsidRPr="0090693E">
        <w:rPr>
          <w:rFonts w:cs="Arial"/>
          <w:color w:val="2E74B5" w:themeColor="accent1" w:themeShade="BF"/>
          <w:sz w:val="24"/>
          <w:szCs w:val="24"/>
        </w:rPr>
        <w:t xml:space="preserve"> –precisamente por ser una impresión del original que consta en un documento electrónico- para que, en efecto, se acreditara que la información fue entregada mediante el correo electrónico del peticionario hoy recurrente.</w:t>
      </w:r>
    </w:p>
    <w:p w:rsidR="00666B97" w:rsidRPr="0090693E" w:rsidRDefault="00666B97" w:rsidP="0090693E">
      <w:pPr>
        <w:pStyle w:val="corte4fondo"/>
        <w:spacing w:line="276" w:lineRule="auto"/>
        <w:ind w:firstLine="708"/>
        <w:rPr>
          <w:rFonts w:cs="Arial"/>
          <w:color w:val="2E74B5" w:themeColor="accent1" w:themeShade="BF"/>
          <w:sz w:val="24"/>
          <w:szCs w:val="24"/>
        </w:rPr>
      </w:pPr>
    </w:p>
    <w:p w:rsidR="00AF701E" w:rsidRPr="0090693E" w:rsidRDefault="00D6239E"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 xml:space="preserve"> </w:t>
      </w:r>
      <w:r w:rsidR="00666B97" w:rsidRPr="0090693E">
        <w:rPr>
          <w:rFonts w:cs="Arial"/>
          <w:color w:val="2E74B5" w:themeColor="accent1" w:themeShade="BF"/>
          <w:sz w:val="24"/>
          <w:szCs w:val="24"/>
        </w:rPr>
        <w:t xml:space="preserve">Y por último, </w:t>
      </w:r>
      <w:r w:rsidR="00137671" w:rsidRPr="0090693E">
        <w:rPr>
          <w:rFonts w:cs="Arial"/>
          <w:color w:val="2E74B5" w:themeColor="accent1" w:themeShade="BF"/>
          <w:sz w:val="24"/>
          <w:szCs w:val="24"/>
        </w:rPr>
        <w:t>del análisis a dicha impresión no se aprecia el envío de algún archivo adjunto</w:t>
      </w:r>
      <w:r w:rsidR="00666B97" w:rsidRPr="0090693E">
        <w:rPr>
          <w:rFonts w:cs="Arial"/>
          <w:color w:val="2E74B5" w:themeColor="accent1" w:themeShade="BF"/>
          <w:sz w:val="24"/>
          <w:szCs w:val="24"/>
        </w:rPr>
        <w:t>, caso contrario a lo manifestado por la autoridad</w:t>
      </w:r>
      <w:r w:rsidR="00D71703" w:rsidRPr="0090693E">
        <w:rPr>
          <w:rFonts w:cs="Arial"/>
          <w:color w:val="2E74B5" w:themeColor="accent1" w:themeShade="BF"/>
          <w:sz w:val="24"/>
          <w:szCs w:val="24"/>
        </w:rPr>
        <w:t>, circunstancias que no generan certeza a esta Comisión</w:t>
      </w:r>
      <w:r w:rsidR="00137671" w:rsidRPr="0090693E">
        <w:rPr>
          <w:rFonts w:cs="Arial"/>
          <w:color w:val="2E74B5" w:themeColor="accent1" w:themeShade="BF"/>
          <w:sz w:val="24"/>
          <w:szCs w:val="24"/>
        </w:rPr>
        <w:t>.</w:t>
      </w:r>
    </w:p>
    <w:p w:rsidR="00666B97" w:rsidRPr="0090693E" w:rsidRDefault="00666B97" w:rsidP="0090693E">
      <w:pPr>
        <w:pStyle w:val="corte4fondo"/>
        <w:tabs>
          <w:tab w:val="left" w:pos="567"/>
        </w:tabs>
        <w:spacing w:line="276" w:lineRule="auto"/>
        <w:rPr>
          <w:rFonts w:cs="Arial"/>
          <w:color w:val="2E74B5" w:themeColor="accent1" w:themeShade="BF"/>
          <w:sz w:val="24"/>
          <w:szCs w:val="24"/>
        </w:rPr>
      </w:pPr>
    </w:p>
    <w:p w:rsidR="00666B97" w:rsidRPr="00BB321B" w:rsidRDefault="00666B97" w:rsidP="0090693E">
      <w:pPr>
        <w:pStyle w:val="corte4fondo"/>
        <w:tabs>
          <w:tab w:val="left" w:pos="567"/>
        </w:tabs>
        <w:spacing w:line="276" w:lineRule="auto"/>
        <w:rPr>
          <w:rFonts w:cs="Arial"/>
          <w:b/>
          <w:color w:val="2E74B5" w:themeColor="accent1" w:themeShade="BF"/>
          <w:sz w:val="24"/>
          <w:szCs w:val="24"/>
        </w:rPr>
      </w:pPr>
      <w:r w:rsidRPr="00BB321B">
        <w:rPr>
          <w:rFonts w:cs="Arial"/>
          <w:b/>
          <w:color w:val="2E74B5" w:themeColor="accent1" w:themeShade="BF"/>
          <w:sz w:val="24"/>
          <w:szCs w:val="24"/>
        </w:rPr>
        <w:t>6.1.4. Agravio infundado.</w:t>
      </w:r>
    </w:p>
    <w:p w:rsidR="00137671" w:rsidRPr="0090693E" w:rsidRDefault="00137671" w:rsidP="0090693E">
      <w:pPr>
        <w:pStyle w:val="corte4fondo"/>
        <w:tabs>
          <w:tab w:val="left" w:pos="567"/>
        </w:tabs>
        <w:spacing w:line="276" w:lineRule="auto"/>
        <w:rPr>
          <w:rFonts w:cs="Arial"/>
          <w:color w:val="2E74B5" w:themeColor="accent1" w:themeShade="BF"/>
          <w:sz w:val="24"/>
          <w:szCs w:val="24"/>
        </w:rPr>
      </w:pPr>
    </w:p>
    <w:p w:rsidR="00044ABB" w:rsidRPr="0090693E" w:rsidRDefault="00044ABB" w:rsidP="0090693E">
      <w:pPr>
        <w:pStyle w:val="corte4fondo"/>
        <w:tabs>
          <w:tab w:val="left" w:pos="567"/>
        </w:tabs>
        <w:spacing w:line="276" w:lineRule="auto"/>
        <w:rPr>
          <w:rFonts w:cs="Arial"/>
          <w:color w:val="2E74B5" w:themeColor="accent1" w:themeShade="BF"/>
          <w:sz w:val="23"/>
          <w:szCs w:val="23"/>
        </w:rPr>
      </w:pPr>
      <w:r w:rsidRPr="0090693E">
        <w:rPr>
          <w:rFonts w:cs="Arial"/>
          <w:color w:val="2E74B5" w:themeColor="accent1" w:themeShade="BF"/>
          <w:sz w:val="23"/>
          <w:szCs w:val="23"/>
        </w:rPr>
        <w:t xml:space="preserve">Lo anterior es porque </w:t>
      </w:r>
      <w:r w:rsidR="00D71703" w:rsidRPr="0090693E">
        <w:rPr>
          <w:rFonts w:cs="Arial"/>
          <w:color w:val="2E74B5" w:themeColor="accent1" w:themeShade="BF"/>
          <w:sz w:val="23"/>
          <w:szCs w:val="23"/>
        </w:rPr>
        <w:t>el</w:t>
      </w:r>
      <w:r w:rsidRPr="0090693E">
        <w:rPr>
          <w:rFonts w:cs="Arial"/>
          <w:color w:val="2E74B5" w:themeColor="accent1" w:themeShade="BF"/>
          <w:sz w:val="23"/>
          <w:szCs w:val="23"/>
        </w:rPr>
        <w:t xml:space="preserve"> recurrente </w:t>
      </w:r>
      <w:r w:rsidR="00D71703" w:rsidRPr="0090693E">
        <w:rPr>
          <w:rFonts w:cs="Arial"/>
          <w:color w:val="2E74B5" w:themeColor="accent1" w:themeShade="BF"/>
          <w:sz w:val="23"/>
          <w:szCs w:val="23"/>
        </w:rPr>
        <w:t xml:space="preserve">solicitó que se declarara la </w:t>
      </w:r>
      <w:r w:rsidRPr="0090693E">
        <w:rPr>
          <w:rFonts w:cs="Arial"/>
          <w:color w:val="2E74B5" w:themeColor="accent1" w:themeShade="BF"/>
          <w:sz w:val="23"/>
          <w:szCs w:val="23"/>
        </w:rPr>
        <w:t>afirmativa ficta</w:t>
      </w:r>
      <w:r w:rsidR="00D71703" w:rsidRPr="0090693E">
        <w:rPr>
          <w:rFonts w:cs="Arial"/>
          <w:color w:val="2E74B5" w:themeColor="accent1" w:themeShade="BF"/>
          <w:sz w:val="23"/>
          <w:szCs w:val="23"/>
        </w:rPr>
        <w:t xml:space="preserve"> puesto que no se le contestó sobre ninguno de los cuestionamientos que este realizó.</w:t>
      </w:r>
    </w:p>
    <w:p w:rsidR="00044ABB" w:rsidRPr="0090693E" w:rsidRDefault="00044ABB" w:rsidP="0090693E">
      <w:pPr>
        <w:pStyle w:val="corte4fondo"/>
        <w:tabs>
          <w:tab w:val="left" w:pos="567"/>
        </w:tabs>
        <w:spacing w:line="276" w:lineRule="auto"/>
        <w:rPr>
          <w:rFonts w:cs="Arial"/>
          <w:color w:val="2E74B5" w:themeColor="accent1" w:themeShade="BF"/>
          <w:sz w:val="23"/>
          <w:szCs w:val="23"/>
          <w:highlight w:val="cyan"/>
        </w:rPr>
      </w:pPr>
    </w:p>
    <w:p w:rsidR="00044ABB" w:rsidRPr="00BB321B" w:rsidRDefault="00044ABB" w:rsidP="0090693E">
      <w:pPr>
        <w:pStyle w:val="corte4fondo"/>
        <w:spacing w:line="276" w:lineRule="auto"/>
        <w:rPr>
          <w:rFonts w:cs="Arial"/>
          <w:color w:val="2E74B5" w:themeColor="accent1" w:themeShade="BF"/>
          <w:sz w:val="23"/>
          <w:szCs w:val="23"/>
        </w:rPr>
      </w:pPr>
      <w:r w:rsidRPr="00BB321B">
        <w:rPr>
          <w:rFonts w:cs="Arial"/>
          <w:color w:val="2E74B5" w:themeColor="accent1" w:themeShade="BF"/>
          <w:sz w:val="23"/>
          <w:szCs w:val="23"/>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BB321B">
        <w:rPr>
          <w:rFonts w:cs="Arial"/>
          <w:color w:val="2E74B5" w:themeColor="accent1" w:themeShade="BF"/>
          <w:sz w:val="23"/>
          <w:szCs w:val="23"/>
        </w:rPr>
        <w:tab/>
      </w:r>
    </w:p>
    <w:p w:rsidR="00044ABB" w:rsidRPr="00BB321B" w:rsidRDefault="00044ABB" w:rsidP="0090693E">
      <w:pPr>
        <w:pStyle w:val="corte4fondo"/>
        <w:spacing w:line="276" w:lineRule="auto"/>
        <w:rPr>
          <w:rFonts w:cs="Arial"/>
          <w:color w:val="2E74B5" w:themeColor="accent1" w:themeShade="BF"/>
          <w:sz w:val="23"/>
          <w:szCs w:val="23"/>
        </w:rPr>
      </w:pPr>
    </w:p>
    <w:p w:rsidR="00044ABB" w:rsidRPr="00BB321B" w:rsidRDefault="00044ABB" w:rsidP="0090693E">
      <w:pPr>
        <w:pStyle w:val="corte4fondo"/>
        <w:spacing w:line="276" w:lineRule="auto"/>
        <w:rPr>
          <w:rFonts w:cs="Arial"/>
          <w:color w:val="2E74B5" w:themeColor="accent1" w:themeShade="BF"/>
          <w:sz w:val="24"/>
          <w:szCs w:val="24"/>
        </w:rPr>
      </w:pPr>
      <w:r w:rsidRPr="00BB321B">
        <w:rPr>
          <w:rFonts w:cs="Arial"/>
          <w:color w:val="2E74B5" w:themeColor="accent1" w:themeShade="BF"/>
          <w:sz w:val="24"/>
          <w:szCs w:val="24"/>
        </w:rPr>
        <w:t xml:space="preserve">Por ello, el artículo 154 de la ley ya mencionada, dispone que respuesta a la solicitud deberá ser notificada al interesado en el menor tiempo posible, </w:t>
      </w:r>
      <w:r w:rsidRPr="00BB321B">
        <w:rPr>
          <w:rFonts w:cs="Arial"/>
          <w:color w:val="2E74B5" w:themeColor="accent1" w:themeShade="BF"/>
          <w:sz w:val="24"/>
          <w:szCs w:val="24"/>
          <w:u w:val="single"/>
        </w:rPr>
        <w:t>que no podrá exceder de diez días</w:t>
      </w:r>
      <w:r w:rsidRPr="00BB321B">
        <w:rPr>
          <w:rFonts w:cs="Arial"/>
          <w:color w:val="2E74B5" w:themeColor="accent1" w:themeShade="BF"/>
          <w:sz w:val="24"/>
          <w:szCs w:val="24"/>
        </w:rPr>
        <w:t>, contados a partir del día siguiente a la presentación de aquélla.</w:t>
      </w:r>
    </w:p>
    <w:p w:rsidR="00044ABB" w:rsidRPr="00BB321B" w:rsidRDefault="00044ABB" w:rsidP="0090693E">
      <w:pPr>
        <w:pStyle w:val="corte4fondo"/>
        <w:spacing w:line="276" w:lineRule="auto"/>
        <w:rPr>
          <w:rFonts w:cs="Arial"/>
          <w:color w:val="2E74B5" w:themeColor="accent1" w:themeShade="BF"/>
          <w:sz w:val="24"/>
          <w:szCs w:val="24"/>
        </w:rPr>
      </w:pPr>
    </w:p>
    <w:p w:rsidR="00044ABB" w:rsidRPr="00BB321B" w:rsidRDefault="00044ABB" w:rsidP="0090693E">
      <w:pPr>
        <w:pStyle w:val="corte4fondo"/>
        <w:spacing w:line="276" w:lineRule="auto"/>
        <w:rPr>
          <w:rFonts w:cs="Arial"/>
          <w:color w:val="2E74B5" w:themeColor="accent1" w:themeShade="BF"/>
          <w:sz w:val="24"/>
          <w:szCs w:val="24"/>
        </w:rPr>
      </w:pPr>
      <w:r w:rsidRPr="00BB321B">
        <w:rPr>
          <w:rFonts w:cs="Arial"/>
          <w:color w:val="2E74B5" w:themeColor="accent1" w:themeShade="BF"/>
          <w:sz w:val="24"/>
          <w:szCs w:val="24"/>
        </w:rPr>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044ABB" w:rsidRPr="00BB321B" w:rsidRDefault="00044ABB" w:rsidP="0090693E">
      <w:pPr>
        <w:pStyle w:val="corte4fondo"/>
        <w:spacing w:line="276" w:lineRule="auto"/>
        <w:rPr>
          <w:rFonts w:cs="Arial"/>
          <w:color w:val="2E74B5" w:themeColor="accent1" w:themeShade="BF"/>
          <w:sz w:val="24"/>
          <w:szCs w:val="24"/>
        </w:rPr>
      </w:pPr>
    </w:p>
    <w:p w:rsidR="00044ABB" w:rsidRPr="00BB321B" w:rsidRDefault="00044ABB" w:rsidP="0090693E">
      <w:pPr>
        <w:pStyle w:val="corte4fondo"/>
        <w:spacing w:line="276" w:lineRule="auto"/>
        <w:rPr>
          <w:rFonts w:cs="Arial"/>
          <w:color w:val="2E74B5" w:themeColor="accent1" w:themeShade="BF"/>
          <w:sz w:val="24"/>
          <w:szCs w:val="24"/>
        </w:rPr>
      </w:pPr>
      <w:r w:rsidRPr="00BB321B">
        <w:rPr>
          <w:rFonts w:cs="Arial"/>
          <w:color w:val="2E74B5" w:themeColor="accent1" w:themeShade="BF"/>
          <w:sz w:val="24"/>
          <w:szCs w:val="24"/>
        </w:rPr>
        <w:lastRenderedPageBreak/>
        <w:t>Por tanto, de conformidad con el artículos 164  y 165, párrafo quinto</w:t>
      </w:r>
      <w:r w:rsidRPr="00BB321B">
        <w:rPr>
          <w:rStyle w:val="Refdenotaalpie"/>
          <w:rFonts w:cs="Arial"/>
          <w:color w:val="2E74B5" w:themeColor="accent1" w:themeShade="BF"/>
          <w:sz w:val="24"/>
          <w:szCs w:val="24"/>
        </w:rPr>
        <w:footnoteReference w:id="4"/>
      </w:r>
      <w:r w:rsidRPr="00BB321B">
        <w:rPr>
          <w:rFonts w:cs="Arial"/>
          <w:color w:val="2E74B5" w:themeColor="accent1" w:themeShade="BF"/>
          <w:sz w:val="24"/>
          <w:szCs w:val="24"/>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044ABB" w:rsidRPr="00BB321B" w:rsidRDefault="00044ABB" w:rsidP="0090693E">
      <w:pPr>
        <w:pStyle w:val="corte4fondo"/>
        <w:spacing w:line="276" w:lineRule="auto"/>
        <w:rPr>
          <w:rFonts w:cs="Arial"/>
          <w:color w:val="2E74B5" w:themeColor="accent1" w:themeShade="BF"/>
          <w:sz w:val="23"/>
          <w:szCs w:val="23"/>
        </w:rPr>
      </w:pPr>
    </w:p>
    <w:p w:rsidR="00044ABB" w:rsidRPr="00BB321B" w:rsidRDefault="00044ABB" w:rsidP="0090693E">
      <w:pPr>
        <w:pStyle w:val="corte4fondo"/>
        <w:spacing w:line="276" w:lineRule="auto"/>
        <w:ind w:firstLine="0"/>
        <w:rPr>
          <w:rFonts w:cs="Arial"/>
          <w:color w:val="2E74B5" w:themeColor="accent1" w:themeShade="BF"/>
          <w:sz w:val="23"/>
          <w:szCs w:val="23"/>
        </w:rPr>
      </w:pPr>
      <w:r w:rsidRPr="00BB321B">
        <w:rPr>
          <w:rFonts w:cs="Arial"/>
          <w:color w:val="2E74B5" w:themeColor="accent1" w:themeShade="BF"/>
          <w:sz w:val="23"/>
          <w:szCs w:val="23"/>
        </w:rPr>
        <w:tab/>
      </w:r>
      <w:r w:rsidRPr="00BB321B">
        <w:rPr>
          <w:rFonts w:cs="Arial"/>
          <w:color w:val="2E74B5" w:themeColor="accent1" w:themeShade="BF"/>
          <w:sz w:val="24"/>
          <w:szCs w:val="24"/>
        </w:rPr>
        <w:t>Así pues, como se adelantó el agravio de que se trata es infundado ya que efectivamente</w:t>
      </w:r>
      <w:r w:rsidRPr="00BB321B">
        <w:rPr>
          <w:rFonts w:cs="Arial"/>
          <w:b/>
          <w:color w:val="2E74B5" w:themeColor="accent1" w:themeShade="BF"/>
          <w:sz w:val="24"/>
          <w:szCs w:val="24"/>
        </w:rPr>
        <w:t xml:space="preserve"> no hay omisión </w:t>
      </w:r>
      <w:r w:rsidRPr="00BB321B">
        <w:rPr>
          <w:rFonts w:cs="Arial"/>
          <w:color w:val="2E74B5" w:themeColor="accent1" w:themeShade="BF"/>
          <w:sz w:val="24"/>
          <w:szCs w:val="24"/>
        </w:rPr>
        <w:t xml:space="preserve">de la autoridad </w:t>
      </w:r>
      <w:r w:rsidRPr="00BB321B">
        <w:rPr>
          <w:rFonts w:cs="Arial"/>
          <w:b/>
          <w:color w:val="2E74B5" w:themeColor="accent1" w:themeShade="BF"/>
          <w:sz w:val="24"/>
          <w:szCs w:val="24"/>
        </w:rPr>
        <w:t>de dar respuesta a su solicitud</w:t>
      </w:r>
      <w:r w:rsidRPr="00BB321B">
        <w:rPr>
          <w:rFonts w:cs="Arial"/>
          <w:color w:val="2E74B5" w:themeColor="accent1" w:themeShade="BF"/>
          <w:sz w:val="24"/>
          <w:szCs w:val="24"/>
        </w:rPr>
        <w:t xml:space="preserve"> de acceso a la información pública </w:t>
      </w:r>
      <w:r w:rsidRPr="00BB321B">
        <w:rPr>
          <w:rFonts w:cs="Arial"/>
          <w:b/>
          <w:color w:val="2E74B5" w:themeColor="accent1" w:themeShade="BF"/>
          <w:sz w:val="24"/>
          <w:szCs w:val="24"/>
        </w:rPr>
        <w:t>dentro del plazo de los diez días</w:t>
      </w:r>
      <w:r w:rsidRPr="00BB321B">
        <w:rPr>
          <w:rFonts w:cs="Arial"/>
          <w:color w:val="2E74B5" w:themeColor="accent1" w:themeShade="BF"/>
          <w:sz w:val="24"/>
          <w:szCs w:val="24"/>
        </w:rPr>
        <w:t xml:space="preserve"> </w:t>
      </w:r>
      <w:r w:rsidRPr="00BB321B">
        <w:rPr>
          <w:rFonts w:cs="Arial"/>
          <w:color w:val="2E74B5" w:themeColor="accent1" w:themeShade="BF"/>
          <w:sz w:val="23"/>
          <w:szCs w:val="23"/>
        </w:rPr>
        <w:t>a que se refiere el artículo 154 de la Ley de Transparencia, como se expone a continuación.</w:t>
      </w:r>
    </w:p>
    <w:p w:rsidR="00044ABB" w:rsidRPr="00BB321B" w:rsidRDefault="00044ABB" w:rsidP="0090693E">
      <w:pPr>
        <w:pStyle w:val="corte4fondo"/>
        <w:tabs>
          <w:tab w:val="left" w:pos="567"/>
        </w:tabs>
        <w:spacing w:line="276" w:lineRule="auto"/>
        <w:rPr>
          <w:rFonts w:cs="Arial"/>
          <w:color w:val="2E74B5" w:themeColor="accent1" w:themeShade="BF"/>
          <w:sz w:val="23"/>
          <w:szCs w:val="23"/>
        </w:rPr>
      </w:pPr>
    </w:p>
    <w:p w:rsidR="00044ABB" w:rsidRPr="00BB321B" w:rsidRDefault="00044ABB" w:rsidP="0090693E">
      <w:pPr>
        <w:pStyle w:val="corte4fondo"/>
        <w:numPr>
          <w:ilvl w:val="0"/>
          <w:numId w:val="8"/>
        </w:numPr>
        <w:tabs>
          <w:tab w:val="left" w:pos="567"/>
        </w:tabs>
        <w:spacing w:line="276" w:lineRule="auto"/>
        <w:rPr>
          <w:rFonts w:cs="Arial"/>
          <w:color w:val="2E74B5" w:themeColor="accent1" w:themeShade="BF"/>
          <w:sz w:val="23"/>
          <w:szCs w:val="23"/>
        </w:rPr>
      </w:pPr>
      <w:r w:rsidRPr="00BB321B">
        <w:rPr>
          <w:rFonts w:cs="Arial"/>
          <w:color w:val="2E74B5" w:themeColor="accent1" w:themeShade="BF"/>
          <w:sz w:val="23"/>
          <w:szCs w:val="23"/>
        </w:rPr>
        <w:t xml:space="preserve">El </w:t>
      </w:r>
      <w:r w:rsidR="00131B05" w:rsidRPr="00BB321B">
        <w:rPr>
          <w:rFonts w:cs="Arial"/>
          <w:color w:val="2E74B5" w:themeColor="accent1" w:themeShade="BF"/>
          <w:sz w:val="23"/>
          <w:szCs w:val="23"/>
        </w:rPr>
        <w:t xml:space="preserve">02 dos de octubre de 2018 dos mil dieciocho el </w:t>
      </w:r>
      <w:r w:rsidRPr="00BB321B">
        <w:rPr>
          <w:rFonts w:cs="Arial"/>
          <w:color w:val="2E74B5" w:themeColor="accent1" w:themeShade="BF"/>
          <w:sz w:val="23"/>
          <w:szCs w:val="23"/>
        </w:rPr>
        <w:t>solicitante de la información presentó su solicitud de acceso a la información pública ante el sujeto obligado.</w:t>
      </w:r>
    </w:p>
    <w:p w:rsidR="00044ABB" w:rsidRPr="00BB321B" w:rsidRDefault="00044ABB" w:rsidP="0090693E">
      <w:pPr>
        <w:pStyle w:val="corte4fondo"/>
        <w:tabs>
          <w:tab w:val="left" w:pos="567"/>
        </w:tabs>
        <w:spacing w:line="276" w:lineRule="auto"/>
        <w:ind w:left="1429" w:firstLine="0"/>
        <w:rPr>
          <w:rFonts w:cs="Arial"/>
          <w:color w:val="2E74B5" w:themeColor="accent1" w:themeShade="BF"/>
          <w:sz w:val="23"/>
          <w:szCs w:val="23"/>
        </w:rPr>
      </w:pPr>
    </w:p>
    <w:p w:rsidR="00044ABB" w:rsidRPr="00BB321B" w:rsidRDefault="00044ABB" w:rsidP="0090693E">
      <w:pPr>
        <w:pStyle w:val="corte4fondo"/>
        <w:numPr>
          <w:ilvl w:val="0"/>
          <w:numId w:val="8"/>
        </w:numPr>
        <w:tabs>
          <w:tab w:val="left" w:pos="567"/>
        </w:tabs>
        <w:spacing w:line="276" w:lineRule="auto"/>
        <w:rPr>
          <w:rFonts w:cs="Arial"/>
          <w:color w:val="2E74B5" w:themeColor="accent1" w:themeShade="BF"/>
          <w:sz w:val="23"/>
          <w:szCs w:val="23"/>
        </w:rPr>
      </w:pPr>
      <w:r w:rsidRPr="00BB321B">
        <w:rPr>
          <w:rFonts w:cs="Arial"/>
          <w:color w:val="2E74B5" w:themeColor="accent1" w:themeShade="BF"/>
          <w:sz w:val="23"/>
          <w:szCs w:val="23"/>
        </w:rPr>
        <w:t>Ahora, el plazo para dar respuesta por parte del sujeto obligado era de diez días, contados a partir del día siguiente de conformidad con los artículos 148 y 154</w:t>
      </w:r>
      <w:r w:rsidRPr="00BB321B">
        <w:rPr>
          <w:rStyle w:val="Refdenotaalpie"/>
          <w:rFonts w:cs="Arial"/>
          <w:color w:val="2E74B5" w:themeColor="accent1" w:themeShade="BF"/>
          <w:sz w:val="23"/>
          <w:szCs w:val="23"/>
        </w:rPr>
        <w:footnoteReference w:id="5"/>
      </w:r>
      <w:r w:rsidRPr="00BB321B">
        <w:rPr>
          <w:rFonts w:cs="Arial"/>
          <w:color w:val="2E74B5" w:themeColor="accent1" w:themeShade="BF"/>
          <w:sz w:val="23"/>
          <w:szCs w:val="23"/>
        </w:rPr>
        <w:t xml:space="preserve"> de la Ley de Transparencia.</w:t>
      </w:r>
    </w:p>
    <w:p w:rsidR="00044ABB" w:rsidRPr="00BB321B" w:rsidRDefault="00044ABB" w:rsidP="0090693E">
      <w:pPr>
        <w:pStyle w:val="corte4fondo"/>
        <w:tabs>
          <w:tab w:val="left" w:pos="567"/>
        </w:tabs>
        <w:spacing w:line="276" w:lineRule="auto"/>
        <w:ind w:left="1429" w:firstLine="0"/>
        <w:rPr>
          <w:rFonts w:cs="Arial"/>
          <w:color w:val="2E74B5" w:themeColor="accent1" w:themeShade="BF"/>
          <w:sz w:val="23"/>
          <w:szCs w:val="23"/>
        </w:rPr>
      </w:pPr>
    </w:p>
    <w:p w:rsidR="00044ABB" w:rsidRPr="00BB321B" w:rsidRDefault="00044ABB" w:rsidP="0090693E">
      <w:pPr>
        <w:pStyle w:val="corte4fondo"/>
        <w:numPr>
          <w:ilvl w:val="0"/>
          <w:numId w:val="8"/>
        </w:numPr>
        <w:tabs>
          <w:tab w:val="left" w:pos="567"/>
        </w:tabs>
        <w:spacing w:line="276" w:lineRule="auto"/>
        <w:rPr>
          <w:rFonts w:cs="Arial"/>
          <w:color w:val="2E74B5" w:themeColor="accent1" w:themeShade="BF"/>
          <w:sz w:val="23"/>
          <w:szCs w:val="23"/>
        </w:rPr>
      </w:pPr>
      <w:r w:rsidRPr="00BB321B">
        <w:rPr>
          <w:rFonts w:cs="Arial"/>
          <w:color w:val="2E74B5" w:themeColor="accent1" w:themeShade="BF"/>
          <w:sz w:val="23"/>
          <w:szCs w:val="23"/>
        </w:rPr>
        <w:t xml:space="preserve">Por lo tanto, </w:t>
      </w:r>
      <w:r w:rsidR="002023AA" w:rsidRPr="00BB321B">
        <w:rPr>
          <w:rFonts w:cs="Arial"/>
          <w:color w:val="2E74B5" w:themeColor="accent1" w:themeShade="BF"/>
          <w:sz w:val="24"/>
          <w:szCs w:val="24"/>
        </w:rPr>
        <w:t xml:space="preserve">el plazo para dar la respuesta o, en su defecto la ampliación del plazo para dar respuesta a la solicitud de acceso a la información pública, comenzó al día hábil siguiente en que fue presentada dicha solicitud, o sea, el día </w:t>
      </w:r>
      <w:r w:rsidR="002023AA" w:rsidRPr="00BB321B">
        <w:rPr>
          <w:rFonts w:cs="Arial"/>
          <w:b/>
          <w:color w:val="2E74B5" w:themeColor="accent1" w:themeShade="BF"/>
          <w:sz w:val="23"/>
          <w:szCs w:val="23"/>
        </w:rPr>
        <w:t xml:space="preserve">04 cuatro </w:t>
      </w:r>
      <w:r w:rsidR="00131B05" w:rsidRPr="00BB321B">
        <w:rPr>
          <w:rFonts w:cs="Arial"/>
          <w:b/>
          <w:color w:val="2E74B5" w:themeColor="accent1" w:themeShade="BF"/>
          <w:sz w:val="23"/>
          <w:szCs w:val="23"/>
        </w:rPr>
        <w:t xml:space="preserve">de octubre </w:t>
      </w:r>
      <w:r w:rsidRPr="00BB321B">
        <w:rPr>
          <w:rFonts w:cs="Arial"/>
          <w:b/>
          <w:color w:val="2E74B5" w:themeColor="accent1" w:themeShade="BF"/>
          <w:sz w:val="23"/>
          <w:szCs w:val="23"/>
        </w:rPr>
        <w:t>y venció el día</w:t>
      </w:r>
      <w:r w:rsidR="00131B05" w:rsidRPr="00BB321B">
        <w:rPr>
          <w:rFonts w:cs="Arial"/>
          <w:b/>
          <w:color w:val="2E74B5" w:themeColor="accent1" w:themeShade="BF"/>
          <w:sz w:val="23"/>
          <w:szCs w:val="23"/>
        </w:rPr>
        <w:t xml:space="preserve"> </w:t>
      </w:r>
      <w:r w:rsidR="002023AA" w:rsidRPr="00BB321B">
        <w:rPr>
          <w:rFonts w:cs="Arial"/>
          <w:b/>
          <w:color w:val="2E74B5" w:themeColor="accent1" w:themeShade="BF"/>
          <w:sz w:val="23"/>
          <w:szCs w:val="23"/>
        </w:rPr>
        <w:t xml:space="preserve">18 dieciocho </w:t>
      </w:r>
      <w:r w:rsidR="000F4F2F" w:rsidRPr="00BB321B">
        <w:rPr>
          <w:rFonts w:cs="Arial"/>
          <w:b/>
          <w:color w:val="2E74B5" w:themeColor="accent1" w:themeShade="BF"/>
          <w:sz w:val="23"/>
          <w:szCs w:val="23"/>
        </w:rPr>
        <w:t>del referido mes</w:t>
      </w:r>
      <w:r w:rsidRPr="00BB321B">
        <w:rPr>
          <w:rFonts w:cs="Arial"/>
          <w:color w:val="2E74B5" w:themeColor="accent1" w:themeShade="BF"/>
          <w:sz w:val="23"/>
          <w:szCs w:val="23"/>
        </w:rPr>
        <w:t xml:space="preserve">, sin contar los días </w:t>
      </w:r>
      <w:r w:rsidR="00131B05" w:rsidRPr="00BB321B">
        <w:rPr>
          <w:rFonts w:cs="Arial"/>
          <w:color w:val="2E74B5" w:themeColor="accent1" w:themeShade="BF"/>
          <w:sz w:val="23"/>
          <w:szCs w:val="23"/>
        </w:rPr>
        <w:t xml:space="preserve">06 seis, 07 siete, 12 doce, 13 trece y 14 catorce de octubre </w:t>
      </w:r>
      <w:r w:rsidRPr="00BB321B">
        <w:rPr>
          <w:rFonts w:cs="Arial"/>
          <w:color w:val="2E74B5" w:themeColor="accent1" w:themeShade="BF"/>
          <w:sz w:val="23"/>
          <w:szCs w:val="23"/>
        </w:rPr>
        <w:t>por ser inhábiles. Todos de</w:t>
      </w:r>
      <w:r w:rsidR="00131B05" w:rsidRPr="00BB321B">
        <w:rPr>
          <w:rFonts w:cs="Arial"/>
          <w:color w:val="2E74B5" w:themeColor="accent1" w:themeShade="BF"/>
          <w:sz w:val="23"/>
          <w:szCs w:val="23"/>
        </w:rPr>
        <w:t>l</w:t>
      </w:r>
      <w:r w:rsidRPr="00BB321B">
        <w:rPr>
          <w:rFonts w:cs="Arial"/>
          <w:color w:val="2E74B5" w:themeColor="accent1" w:themeShade="BF"/>
          <w:sz w:val="23"/>
          <w:szCs w:val="23"/>
        </w:rPr>
        <w:t xml:space="preserve"> año</w:t>
      </w:r>
      <w:r w:rsidR="00131B05" w:rsidRPr="00BB321B">
        <w:rPr>
          <w:rFonts w:cs="Arial"/>
          <w:color w:val="2E74B5" w:themeColor="accent1" w:themeShade="BF"/>
          <w:sz w:val="23"/>
          <w:szCs w:val="23"/>
        </w:rPr>
        <w:t xml:space="preserve"> 2018 dos mil dieciocho</w:t>
      </w:r>
      <w:r w:rsidRPr="00BB321B">
        <w:rPr>
          <w:rFonts w:cs="Arial"/>
          <w:color w:val="2E74B5" w:themeColor="accent1" w:themeShade="BF"/>
          <w:sz w:val="23"/>
          <w:szCs w:val="23"/>
        </w:rPr>
        <w:t>.</w:t>
      </w:r>
    </w:p>
    <w:p w:rsidR="002023AA" w:rsidRPr="00BB321B" w:rsidRDefault="002023AA" w:rsidP="0090693E">
      <w:pPr>
        <w:pStyle w:val="corte4fondo"/>
        <w:tabs>
          <w:tab w:val="left" w:pos="567"/>
        </w:tabs>
        <w:spacing w:line="276" w:lineRule="auto"/>
        <w:rPr>
          <w:rFonts w:cs="Arial"/>
          <w:color w:val="2E74B5" w:themeColor="accent1" w:themeShade="BF"/>
          <w:sz w:val="24"/>
          <w:szCs w:val="24"/>
        </w:rPr>
      </w:pPr>
    </w:p>
    <w:p w:rsidR="00044ABB" w:rsidRPr="0090693E" w:rsidRDefault="00044ABB" w:rsidP="0090693E">
      <w:pPr>
        <w:pStyle w:val="corte4fondo"/>
        <w:shd w:val="clear" w:color="auto" w:fill="FFFFFF" w:themeFill="background1"/>
        <w:tabs>
          <w:tab w:val="left" w:pos="567"/>
        </w:tabs>
        <w:spacing w:line="276" w:lineRule="auto"/>
        <w:rPr>
          <w:rFonts w:cs="Arial"/>
          <w:color w:val="2E74B5" w:themeColor="accent1" w:themeShade="BF"/>
          <w:sz w:val="23"/>
          <w:szCs w:val="23"/>
        </w:rPr>
      </w:pPr>
      <w:r w:rsidRPr="00BB321B">
        <w:rPr>
          <w:rFonts w:cs="Arial"/>
          <w:color w:val="2E74B5" w:themeColor="accent1" w:themeShade="BF"/>
          <w:sz w:val="23"/>
          <w:szCs w:val="23"/>
        </w:rPr>
        <w:lastRenderedPageBreak/>
        <w:t>Es decir, que la fecha límite con la que contaba la autoridad para dar respuesta</w:t>
      </w:r>
      <w:r w:rsidR="00131B05" w:rsidRPr="00BB321B">
        <w:rPr>
          <w:rFonts w:cs="Arial"/>
          <w:color w:val="2E74B5" w:themeColor="accent1" w:themeShade="BF"/>
          <w:sz w:val="23"/>
          <w:szCs w:val="23"/>
        </w:rPr>
        <w:t xml:space="preserve"> o en su caso notificar la ampliación del término para proporcionar la respuesta a la</w:t>
      </w:r>
      <w:r w:rsidRPr="00BB321B">
        <w:rPr>
          <w:rFonts w:cs="Arial"/>
          <w:color w:val="2E74B5" w:themeColor="accent1" w:themeShade="BF"/>
          <w:sz w:val="23"/>
          <w:szCs w:val="23"/>
        </w:rPr>
        <w:t xml:space="preserve"> solicitud de acceso a la información pública desde que le fue presentada ésta, vencía el día</w:t>
      </w:r>
      <w:r w:rsidR="000F4F2F" w:rsidRPr="00BB321B">
        <w:rPr>
          <w:rFonts w:cs="Arial"/>
          <w:color w:val="2E74B5" w:themeColor="accent1" w:themeShade="BF"/>
          <w:sz w:val="23"/>
          <w:szCs w:val="23"/>
        </w:rPr>
        <w:t xml:space="preserve"> </w:t>
      </w:r>
      <w:r w:rsidR="002023AA" w:rsidRPr="00BB321B">
        <w:rPr>
          <w:rFonts w:cs="Arial"/>
          <w:b/>
          <w:color w:val="2E74B5" w:themeColor="accent1" w:themeShade="BF"/>
          <w:sz w:val="23"/>
          <w:szCs w:val="23"/>
        </w:rPr>
        <w:t xml:space="preserve">18 dieciocho </w:t>
      </w:r>
      <w:r w:rsidR="000F4F2F" w:rsidRPr="00BB321B">
        <w:rPr>
          <w:rFonts w:cs="Arial"/>
          <w:b/>
          <w:color w:val="2E74B5" w:themeColor="accent1" w:themeShade="BF"/>
          <w:sz w:val="23"/>
          <w:szCs w:val="23"/>
        </w:rPr>
        <w:t>de octubre</w:t>
      </w:r>
      <w:r w:rsidR="002023AA" w:rsidRPr="00BB321B">
        <w:rPr>
          <w:rFonts w:cs="Arial"/>
          <w:b/>
          <w:color w:val="2E74B5" w:themeColor="accent1" w:themeShade="BF"/>
          <w:sz w:val="23"/>
          <w:szCs w:val="23"/>
        </w:rPr>
        <w:t xml:space="preserve"> de 2018 dos mil dieciocho</w:t>
      </w:r>
      <w:r w:rsidR="000F4F2F" w:rsidRPr="00BB321B">
        <w:rPr>
          <w:rFonts w:cs="Arial"/>
          <w:color w:val="2E74B5" w:themeColor="accent1" w:themeShade="BF"/>
          <w:sz w:val="23"/>
          <w:szCs w:val="23"/>
        </w:rPr>
        <w:t>.</w:t>
      </w:r>
    </w:p>
    <w:p w:rsidR="00044ABB" w:rsidRPr="0090693E" w:rsidRDefault="00044ABB" w:rsidP="0090693E">
      <w:pPr>
        <w:pStyle w:val="corte4fondo"/>
        <w:tabs>
          <w:tab w:val="left" w:pos="567"/>
        </w:tabs>
        <w:spacing w:line="276" w:lineRule="auto"/>
        <w:rPr>
          <w:rFonts w:cs="Arial"/>
          <w:color w:val="2E74B5" w:themeColor="accent1" w:themeShade="BF"/>
          <w:sz w:val="23"/>
          <w:szCs w:val="23"/>
        </w:rPr>
      </w:pPr>
    </w:p>
    <w:p w:rsidR="00044ABB" w:rsidRPr="0090693E" w:rsidRDefault="00044ABB" w:rsidP="0090693E">
      <w:pPr>
        <w:pStyle w:val="corte4fondo"/>
        <w:spacing w:line="276" w:lineRule="auto"/>
        <w:rPr>
          <w:rFonts w:cs="Arial"/>
          <w:color w:val="2E74B5" w:themeColor="accent1" w:themeShade="BF"/>
          <w:sz w:val="24"/>
          <w:szCs w:val="24"/>
        </w:rPr>
      </w:pPr>
      <w:r w:rsidRPr="0090693E">
        <w:rPr>
          <w:rFonts w:cs="Arial"/>
          <w:color w:val="2E74B5" w:themeColor="accent1" w:themeShade="BF"/>
          <w:sz w:val="23"/>
          <w:szCs w:val="23"/>
        </w:rPr>
        <w:t>En la especie, está demostrado que el día</w:t>
      </w:r>
      <w:r w:rsidR="002023AA" w:rsidRPr="0090693E">
        <w:rPr>
          <w:rFonts w:cs="Arial"/>
          <w:color w:val="2E74B5" w:themeColor="accent1" w:themeShade="BF"/>
          <w:sz w:val="23"/>
          <w:szCs w:val="23"/>
        </w:rPr>
        <w:t xml:space="preserve"> </w:t>
      </w:r>
      <w:r w:rsidR="002023AA" w:rsidRPr="00BB321B">
        <w:rPr>
          <w:rFonts w:cs="Arial"/>
          <w:b/>
          <w:color w:val="2E74B5" w:themeColor="accent1" w:themeShade="BF"/>
          <w:sz w:val="23"/>
          <w:szCs w:val="23"/>
        </w:rPr>
        <w:t>18 dieciocho de octubre de 2018</w:t>
      </w:r>
      <w:r w:rsidR="002023AA" w:rsidRPr="0090693E">
        <w:rPr>
          <w:rFonts w:cs="Arial"/>
          <w:color w:val="2E74B5" w:themeColor="accent1" w:themeShade="BF"/>
          <w:sz w:val="23"/>
          <w:szCs w:val="23"/>
        </w:rPr>
        <w:t xml:space="preserve"> dos mil dieciocho</w:t>
      </w:r>
      <w:r w:rsidRPr="0090693E">
        <w:rPr>
          <w:rFonts w:cs="Arial"/>
          <w:color w:val="2E74B5" w:themeColor="accent1" w:themeShade="BF"/>
          <w:sz w:val="23"/>
          <w:szCs w:val="23"/>
        </w:rPr>
        <w:t xml:space="preserve"> el solicitante de la información fue notificado de la </w:t>
      </w:r>
      <w:r w:rsidR="00BB321B">
        <w:rPr>
          <w:rFonts w:cs="Arial"/>
          <w:color w:val="2E74B5" w:themeColor="accent1" w:themeShade="BF"/>
          <w:sz w:val="23"/>
          <w:szCs w:val="23"/>
        </w:rPr>
        <w:t>Pró</w:t>
      </w:r>
      <w:r w:rsidR="004C66B2" w:rsidRPr="0090693E">
        <w:rPr>
          <w:rFonts w:cs="Arial"/>
          <w:color w:val="2E74B5" w:themeColor="accent1" w:themeShade="BF"/>
          <w:sz w:val="23"/>
          <w:szCs w:val="23"/>
        </w:rPr>
        <w:t>rroga (ampliación)</w:t>
      </w:r>
      <w:r w:rsidRPr="0090693E">
        <w:rPr>
          <w:rFonts w:cs="Arial"/>
          <w:color w:val="2E74B5" w:themeColor="accent1" w:themeShade="BF"/>
          <w:sz w:val="23"/>
          <w:szCs w:val="23"/>
        </w:rPr>
        <w:t xml:space="preserve"> –que incluso es </w:t>
      </w:r>
      <w:r w:rsidR="004C66B2" w:rsidRPr="0090693E">
        <w:rPr>
          <w:rFonts w:cs="Arial"/>
          <w:color w:val="2E74B5" w:themeColor="accent1" w:themeShade="BF"/>
          <w:sz w:val="23"/>
          <w:szCs w:val="23"/>
        </w:rPr>
        <w:t xml:space="preserve"> parte de su inconformidad que </w:t>
      </w:r>
      <w:r w:rsidRPr="0090693E">
        <w:rPr>
          <w:rFonts w:cs="Arial"/>
          <w:color w:val="2E74B5" w:themeColor="accent1" w:themeShade="BF"/>
          <w:sz w:val="23"/>
          <w:szCs w:val="23"/>
        </w:rPr>
        <w:t>impugna por este medio–</w:t>
      </w:r>
      <w:r w:rsidR="004C66B2" w:rsidRPr="0090693E">
        <w:rPr>
          <w:rFonts w:cs="Arial"/>
          <w:color w:val="2E74B5" w:themeColor="accent1" w:themeShade="BF"/>
          <w:sz w:val="23"/>
          <w:szCs w:val="23"/>
        </w:rPr>
        <w:t xml:space="preserve"> esto es, ampliación</w:t>
      </w:r>
      <w:r w:rsidRPr="0090693E">
        <w:rPr>
          <w:rFonts w:cs="Arial"/>
          <w:color w:val="2E74B5" w:themeColor="accent1" w:themeShade="BF"/>
          <w:sz w:val="23"/>
          <w:szCs w:val="23"/>
        </w:rPr>
        <w:t xml:space="preserve"> que fue notificada </w:t>
      </w:r>
      <w:r w:rsidRPr="0090693E">
        <w:rPr>
          <w:rFonts w:cs="Arial"/>
          <w:b/>
          <w:color w:val="2E74B5" w:themeColor="accent1" w:themeShade="BF"/>
          <w:sz w:val="23"/>
          <w:szCs w:val="23"/>
        </w:rPr>
        <w:t>dentro del plazo de los diez días que tenía para hacerlo</w:t>
      </w:r>
      <w:r w:rsidRPr="0090693E">
        <w:rPr>
          <w:rFonts w:cs="Arial"/>
          <w:color w:val="2E74B5" w:themeColor="accent1" w:themeShade="BF"/>
          <w:sz w:val="23"/>
          <w:szCs w:val="23"/>
        </w:rPr>
        <w:t>, es por ello que contrario a lo alegado por lo recurrente en el presente asunto no procede la aplicación del principio de afirmativa ficta, puesto que la autoridad cumplió con la obligación de dar respuesta en tiempo –independientemente del sentido de la respuesta, ya que</w:t>
      </w:r>
      <w:r w:rsidRPr="0090693E">
        <w:rPr>
          <w:rFonts w:cs="Arial"/>
          <w:color w:val="2E74B5" w:themeColor="accent1" w:themeShade="BF"/>
          <w:sz w:val="24"/>
          <w:szCs w:val="24"/>
        </w:rPr>
        <w:t xml:space="preserve"> ésta es también motivo de agravio y consecuentemente de estudio– y, por tal razón el agravio donde la recurrente reclama la aplicación del principio de afirmativa ficta, es infundado.</w:t>
      </w:r>
    </w:p>
    <w:p w:rsidR="00B71ECE" w:rsidRPr="0090693E" w:rsidRDefault="00B71ECE" w:rsidP="0090693E">
      <w:pPr>
        <w:pStyle w:val="corte4fondo"/>
        <w:spacing w:line="276" w:lineRule="auto"/>
        <w:rPr>
          <w:rFonts w:cs="Arial"/>
          <w:color w:val="2E74B5" w:themeColor="accent1" w:themeShade="BF"/>
          <w:sz w:val="24"/>
          <w:szCs w:val="24"/>
        </w:rPr>
      </w:pPr>
    </w:p>
    <w:p w:rsidR="00A04492"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 xml:space="preserve">Por otra parte, </w:t>
      </w:r>
      <w:r w:rsidRPr="0008101C">
        <w:rPr>
          <w:rFonts w:cs="Arial"/>
          <w:color w:val="2E74B5" w:themeColor="accent1" w:themeShade="BF"/>
          <w:sz w:val="24"/>
          <w:szCs w:val="24"/>
        </w:rPr>
        <w:t xml:space="preserve">esta unidad de ponencia no pasa </w:t>
      </w:r>
      <w:r w:rsidR="005560CD" w:rsidRPr="0008101C">
        <w:rPr>
          <w:rFonts w:cs="Arial"/>
          <w:color w:val="2E74B5" w:themeColor="accent1" w:themeShade="BF"/>
          <w:sz w:val="24"/>
          <w:szCs w:val="24"/>
        </w:rPr>
        <w:t xml:space="preserve">inadvertido </w:t>
      </w:r>
      <w:r w:rsidR="00BB321B" w:rsidRPr="0008101C">
        <w:rPr>
          <w:rFonts w:cs="Arial"/>
          <w:color w:val="2E74B5" w:themeColor="accent1" w:themeShade="BF"/>
          <w:sz w:val="24"/>
          <w:szCs w:val="24"/>
        </w:rPr>
        <w:t>que,</w:t>
      </w:r>
      <w:r w:rsidR="005560CD" w:rsidRPr="0008101C">
        <w:rPr>
          <w:rFonts w:cs="Arial"/>
          <w:color w:val="2E74B5" w:themeColor="accent1" w:themeShade="BF"/>
          <w:sz w:val="24"/>
          <w:szCs w:val="24"/>
        </w:rPr>
        <w:t xml:space="preserve"> del contenido al acuerdo del Comité de Transparencia</w:t>
      </w:r>
      <w:r w:rsidR="00A04492" w:rsidRPr="0008101C">
        <w:rPr>
          <w:rFonts w:cs="Arial"/>
          <w:color w:val="2E74B5" w:themeColor="accent1" w:themeShade="BF"/>
          <w:sz w:val="24"/>
          <w:szCs w:val="24"/>
        </w:rPr>
        <w:t xml:space="preserve"> del Poder Judicial del Estado, por el que se decreta la duplicidad del término legal para el trámite de las solicitudes recibidas mediante la Plataforma Nacional de Transparencia con número de folios 00701918, 00702018, 00734018, 00734118 y 00734318 efectuó acumulación</w:t>
      </w:r>
      <w:r w:rsidRPr="0008101C">
        <w:rPr>
          <w:rFonts w:cs="Arial"/>
          <w:color w:val="2E74B5" w:themeColor="accent1" w:themeShade="BF"/>
          <w:sz w:val="24"/>
          <w:szCs w:val="24"/>
        </w:rPr>
        <w:t xml:space="preserve"> para atender la solicitud</w:t>
      </w:r>
      <w:r w:rsidR="00A04492" w:rsidRPr="0008101C">
        <w:rPr>
          <w:rFonts w:cs="Arial"/>
          <w:color w:val="2E74B5" w:themeColor="accent1" w:themeShade="BF"/>
          <w:sz w:val="24"/>
          <w:szCs w:val="24"/>
        </w:rPr>
        <w:t xml:space="preserve"> de información del particular.</w:t>
      </w:r>
    </w:p>
    <w:p w:rsidR="00A04492" w:rsidRPr="0008101C" w:rsidRDefault="00A04492" w:rsidP="0090693E">
      <w:pPr>
        <w:pStyle w:val="corte4fondo"/>
        <w:spacing w:line="276" w:lineRule="auto"/>
        <w:ind w:right="49" w:firstLine="708"/>
        <w:rPr>
          <w:rFonts w:cs="Arial"/>
          <w:color w:val="2E74B5" w:themeColor="accent1" w:themeShade="BF"/>
          <w:sz w:val="24"/>
          <w:szCs w:val="24"/>
        </w:rPr>
      </w:pPr>
    </w:p>
    <w:p w:rsidR="00B71ECE" w:rsidRPr="0008101C" w:rsidRDefault="00B71ECE" w:rsidP="0008101C">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Dicho lo anterior, es dable señalar que la figura jurídica de la acumulación se encuentra contemplada en el Código Procesal Administrativo para el Estado de San Luis Potosí</w:t>
      </w:r>
      <w:r w:rsidRPr="0008101C">
        <w:rPr>
          <w:rStyle w:val="Refdenotaalpie"/>
          <w:rFonts w:cs="Arial"/>
          <w:color w:val="2E74B5" w:themeColor="accent1" w:themeShade="BF"/>
          <w:sz w:val="24"/>
          <w:szCs w:val="24"/>
        </w:rPr>
        <w:footnoteReference w:id="6"/>
      </w:r>
      <w:r w:rsidRPr="0008101C">
        <w:rPr>
          <w:rFonts w:cs="Arial"/>
          <w:color w:val="2E74B5" w:themeColor="accent1" w:themeShade="BF"/>
          <w:sz w:val="24"/>
          <w:szCs w:val="24"/>
        </w:rPr>
        <w:t xml:space="preserve">, que en la porción normativa que interesa señalan lo siguiente: </w:t>
      </w:r>
    </w:p>
    <w:p w:rsidR="00B71ECE" w:rsidRPr="0008101C" w:rsidRDefault="00B71ECE" w:rsidP="0090693E">
      <w:pPr>
        <w:spacing w:after="0"/>
        <w:ind w:left="1134" w:right="1467"/>
        <w:rPr>
          <w:rFonts w:ascii="Arial" w:hAnsi="Arial" w:cs="Arial"/>
          <w:color w:val="2E74B5" w:themeColor="accent1" w:themeShade="BF"/>
          <w:sz w:val="24"/>
          <w:szCs w:val="24"/>
        </w:rPr>
      </w:pPr>
    </w:p>
    <w:p w:rsidR="00B71ECE" w:rsidRPr="0008101C" w:rsidRDefault="00B71ECE" w:rsidP="0008101C">
      <w:pPr>
        <w:spacing w:after="0"/>
        <w:ind w:left="1134" w:right="1041"/>
        <w:jc w:val="both"/>
        <w:rPr>
          <w:rFonts w:ascii="Arial" w:hAnsi="Arial" w:cs="Arial"/>
          <w:color w:val="2E74B5" w:themeColor="accent1" w:themeShade="BF"/>
          <w:sz w:val="20"/>
          <w:szCs w:val="20"/>
        </w:rPr>
      </w:pPr>
      <w:r w:rsidRPr="0008101C">
        <w:rPr>
          <w:rFonts w:ascii="Arial" w:hAnsi="Arial" w:cs="Arial"/>
          <w:color w:val="2E74B5" w:themeColor="accent1" w:themeShade="BF"/>
          <w:sz w:val="20"/>
          <w:szCs w:val="20"/>
        </w:rPr>
        <w:t>“ARTÍCULO 125. En los procedimientos contenciosos procede la acumulación de dos o más juicios pendientes de resolver cuando:</w:t>
      </w:r>
    </w:p>
    <w:p w:rsidR="00B71ECE" w:rsidRPr="0008101C" w:rsidRDefault="00B71ECE" w:rsidP="0008101C">
      <w:pPr>
        <w:spacing w:after="0"/>
        <w:ind w:left="1134" w:right="1041"/>
        <w:jc w:val="both"/>
        <w:rPr>
          <w:rFonts w:ascii="Arial" w:hAnsi="Arial" w:cs="Arial"/>
          <w:color w:val="2E74B5" w:themeColor="accent1" w:themeShade="BF"/>
          <w:sz w:val="20"/>
          <w:szCs w:val="20"/>
        </w:rPr>
      </w:pPr>
      <w:r w:rsidRPr="0008101C">
        <w:rPr>
          <w:rFonts w:ascii="Arial" w:hAnsi="Arial" w:cs="Arial"/>
          <w:color w:val="2E74B5" w:themeColor="accent1" w:themeShade="BF"/>
          <w:sz w:val="20"/>
          <w:szCs w:val="20"/>
        </w:rPr>
        <w:t xml:space="preserve">I. </w:t>
      </w:r>
      <w:r w:rsidRPr="0008101C">
        <w:rPr>
          <w:rFonts w:ascii="Arial" w:hAnsi="Arial" w:cs="Arial"/>
          <w:b/>
          <w:color w:val="2E74B5" w:themeColor="accent1" w:themeShade="BF"/>
          <w:sz w:val="20"/>
          <w:szCs w:val="20"/>
        </w:rPr>
        <w:t xml:space="preserve">Siendo diferentes las partes e invocándose distintos agravios, el acto impugnado sea uno mismo o se impugnen varias partes del mismo acto </w:t>
      </w:r>
      <w:r w:rsidRPr="0008101C">
        <w:rPr>
          <w:rFonts w:ascii="Arial" w:hAnsi="Arial" w:cs="Arial"/>
          <w:color w:val="2E74B5" w:themeColor="accent1" w:themeShade="BF"/>
          <w:sz w:val="20"/>
          <w:szCs w:val="20"/>
        </w:rPr>
        <w:t xml:space="preserve">y </w:t>
      </w:r>
    </w:p>
    <w:p w:rsidR="00B71ECE" w:rsidRPr="0008101C" w:rsidRDefault="00B71ECE" w:rsidP="0008101C">
      <w:pPr>
        <w:spacing w:after="0"/>
        <w:ind w:left="1134" w:right="1041"/>
        <w:jc w:val="both"/>
        <w:rPr>
          <w:rFonts w:ascii="Arial" w:hAnsi="Arial" w:cs="Arial"/>
          <w:color w:val="2E74B5" w:themeColor="accent1" w:themeShade="BF"/>
          <w:sz w:val="20"/>
          <w:szCs w:val="20"/>
        </w:rPr>
      </w:pPr>
      <w:r w:rsidRPr="0008101C">
        <w:rPr>
          <w:rFonts w:ascii="Arial" w:hAnsi="Arial" w:cs="Arial"/>
          <w:color w:val="2E74B5" w:themeColor="accent1" w:themeShade="BF"/>
          <w:sz w:val="20"/>
          <w:szCs w:val="20"/>
        </w:rPr>
        <w:t>II</w:t>
      </w:r>
      <w:r w:rsidRPr="0008101C">
        <w:rPr>
          <w:rFonts w:ascii="Arial" w:hAnsi="Arial" w:cs="Arial"/>
          <w:b/>
          <w:color w:val="2E74B5" w:themeColor="accent1" w:themeShade="BF"/>
          <w:sz w:val="20"/>
          <w:szCs w:val="20"/>
        </w:rPr>
        <w:t>. Sean las partes y los agravios diversos o no, se impugnen actos que sean unos antecedentes o consecuencia de los otros</w:t>
      </w:r>
      <w:r w:rsidRPr="0008101C">
        <w:rPr>
          <w:rFonts w:ascii="Arial" w:hAnsi="Arial" w:cs="Arial"/>
          <w:color w:val="2E74B5" w:themeColor="accent1" w:themeShade="BF"/>
          <w:sz w:val="20"/>
          <w:szCs w:val="20"/>
        </w:rPr>
        <w:t xml:space="preserve">.” </w:t>
      </w:r>
    </w:p>
    <w:p w:rsidR="00B71ECE" w:rsidRPr="0008101C" w:rsidRDefault="00B71ECE" w:rsidP="0090693E">
      <w:pPr>
        <w:pStyle w:val="corte4fondo"/>
        <w:spacing w:line="276" w:lineRule="auto"/>
        <w:ind w:right="49" w:firstLine="0"/>
        <w:jc w:val="right"/>
        <w:rPr>
          <w:rFonts w:cs="Arial"/>
          <w:color w:val="2E74B5" w:themeColor="accent1" w:themeShade="BF"/>
          <w:sz w:val="20"/>
        </w:rPr>
      </w:pPr>
      <w:r w:rsidRPr="0008101C">
        <w:rPr>
          <w:rFonts w:cs="Arial"/>
          <w:color w:val="2E74B5" w:themeColor="accent1" w:themeShade="BF"/>
          <w:sz w:val="20"/>
        </w:rPr>
        <w:t>[Énfasis añadido].</w:t>
      </w:r>
      <w:bookmarkStart w:id="0" w:name="_Toc386493468"/>
    </w:p>
    <w:p w:rsidR="00B71ECE" w:rsidRPr="0090693E" w:rsidRDefault="00B71ECE" w:rsidP="0090693E">
      <w:pPr>
        <w:pStyle w:val="corte4fondo"/>
        <w:spacing w:line="276" w:lineRule="auto"/>
        <w:ind w:right="49" w:firstLine="0"/>
        <w:rPr>
          <w:rFonts w:cs="Arial"/>
          <w:b/>
          <w:color w:val="2E74B5" w:themeColor="accent1" w:themeShade="BF"/>
          <w:sz w:val="24"/>
          <w:szCs w:val="24"/>
        </w:rPr>
      </w:pPr>
    </w:p>
    <w:p w:rsidR="00B71ECE"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 xml:space="preserve">Del precepto normativo citado con anterioridad, se precisa que la acumulación como figura jurídica, consiste en la integración de distintas partes y distintos motivos de inconformidad que impugnen un mismo acto, el cual, puede ser antecedente o consecuencia de otros. </w:t>
      </w:r>
    </w:p>
    <w:p w:rsidR="00B71ECE" w:rsidRPr="0008101C" w:rsidRDefault="00B71ECE" w:rsidP="0090693E">
      <w:pPr>
        <w:pStyle w:val="corte4fondo"/>
        <w:spacing w:line="276" w:lineRule="auto"/>
        <w:ind w:right="49" w:firstLine="0"/>
        <w:rPr>
          <w:rFonts w:cs="Arial"/>
          <w:color w:val="2E74B5" w:themeColor="accent1" w:themeShade="BF"/>
          <w:sz w:val="24"/>
          <w:szCs w:val="24"/>
        </w:rPr>
      </w:pPr>
    </w:p>
    <w:p w:rsidR="00B71ECE"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Eduardo Pallares</w:t>
      </w:r>
      <w:r w:rsidRPr="0008101C">
        <w:rPr>
          <w:rStyle w:val="Refdenotaalpie"/>
          <w:rFonts w:cs="Arial"/>
          <w:color w:val="2E74B5" w:themeColor="accent1" w:themeShade="BF"/>
          <w:sz w:val="24"/>
          <w:szCs w:val="24"/>
        </w:rPr>
        <w:footnoteReference w:id="7"/>
      </w:r>
      <w:r w:rsidRPr="0008101C">
        <w:rPr>
          <w:rFonts w:cs="Arial"/>
          <w:color w:val="2E74B5" w:themeColor="accent1" w:themeShade="BF"/>
          <w:sz w:val="24"/>
          <w:szCs w:val="24"/>
        </w:rPr>
        <w:t xml:space="preserve"> considera que la acumulación “consiste en reunir, o… en fusionar varios procesos en uno solo”. </w:t>
      </w:r>
      <w:bookmarkEnd w:id="0"/>
      <w:r w:rsidRPr="0008101C">
        <w:rPr>
          <w:rFonts w:cs="Arial"/>
          <w:color w:val="2E74B5" w:themeColor="accent1" w:themeShade="BF"/>
          <w:sz w:val="24"/>
          <w:szCs w:val="24"/>
        </w:rPr>
        <w:t xml:space="preserve">Atendiendo a lo anterior, en materia de </w:t>
      </w:r>
      <w:r w:rsidRPr="0008101C">
        <w:rPr>
          <w:rFonts w:cs="Arial"/>
          <w:color w:val="2E74B5" w:themeColor="accent1" w:themeShade="BF"/>
          <w:sz w:val="24"/>
          <w:szCs w:val="24"/>
        </w:rPr>
        <w:lastRenderedPageBreak/>
        <w:t>Transparencia y Acceso a la Información, la acumulación se encuentra prevista para la tramitación de recursos de revisión, tal y como lo determinó este Órgano Garante a través del Acuerdo CEGAIP-466/2008, aprobado en sesión ordinaria de consejo, celebrada el veinticuatro de septiembre de dos mil ocho, cuyo rubro y texto señalan lo siguiente:</w:t>
      </w:r>
    </w:p>
    <w:p w:rsidR="00B71ECE" w:rsidRPr="0090693E" w:rsidRDefault="00B71ECE" w:rsidP="0090693E">
      <w:pPr>
        <w:pStyle w:val="corte4fondo"/>
        <w:spacing w:line="276" w:lineRule="auto"/>
        <w:ind w:left="1134" w:right="1467" w:firstLine="0"/>
        <w:rPr>
          <w:rFonts w:cs="Arial"/>
          <w:color w:val="2E74B5" w:themeColor="accent1" w:themeShade="BF"/>
          <w:sz w:val="24"/>
          <w:szCs w:val="24"/>
        </w:rPr>
      </w:pPr>
    </w:p>
    <w:p w:rsidR="00B71ECE" w:rsidRPr="0008101C" w:rsidRDefault="00B71ECE" w:rsidP="0090693E">
      <w:pPr>
        <w:pStyle w:val="corte4fondo"/>
        <w:spacing w:line="276" w:lineRule="auto"/>
        <w:ind w:left="1134" w:right="1467" w:firstLine="0"/>
        <w:rPr>
          <w:rFonts w:cs="Arial"/>
          <w:b/>
          <w:color w:val="2E74B5" w:themeColor="accent1" w:themeShade="BF"/>
          <w:sz w:val="20"/>
        </w:rPr>
      </w:pPr>
      <w:r w:rsidRPr="0008101C">
        <w:rPr>
          <w:rFonts w:cs="Arial"/>
          <w:b/>
          <w:color w:val="2E74B5" w:themeColor="accent1" w:themeShade="BF"/>
          <w:sz w:val="20"/>
        </w:rPr>
        <w:t xml:space="preserve">ACUMULACIÓN DE EXPEDIENTE. </w:t>
      </w:r>
      <w:r w:rsidRPr="0008101C">
        <w:rPr>
          <w:rFonts w:cs="Arial"/>
          <w:color w:val="2E74B5" w:themeColor="accent1" w:themeShade="BF"/>
          <w:sz w:val="20"/>
        </w:rPr>
        <w:t>Se aprueba por unanimidad de votos, que deberá procurar en la medida de lo posible la acumulación a un solo expediente,</w:t>
      </w:r>
      <w:r w:rsidRPr="0008101C">
        <w:rPr>
          <w:rFonts w:cs="Arial"/>
          <w:b/>
          <w:color w:val="2E74B5" w:themeColor="accent1" w:themeShade="BF"/>
          <w:sz w:val="20"/>
        </w:rPr>
        <w:t xml:space="preserve"> cuando se trate del mismo recurrente y el mismo ente obligado, y siempre que la información sea del mismo ámbito, con el propósito de dictar una sola resolución para los expedientes acumulados.  </w:t>
      </w:r>
    </w:p>
    <w:p w:rsidR="00B71ECE" w:rsidRPr="0090693E" w:rsidRDefault="00B71ECE" w:rsidP="0090693E">
      <w:pPr>
        <w:pStyle w:val="corte4fondo"/>
        <w:spacing w:line="276" w:lineRule="auto"/>
        <w:ind w:right="49" w:firstLine="0"/>
        <w:jc w:val="right"/>
        <w:rPr>
          <w:rFonts w:cs="Arial"/>
          <w:b/>
          <w:color w:val="2E74B5" w:themeColor="accent1" w:themeShade="BF"/>
          <w:sz w:val="22"/>
          <w:szCs w:val="22"/>
        </w:rPr>
      </w:pPr>
    </w:p>
    <w:p w:rsidR="00B71ECE" w:rsidRPr="0008101C" w:rsidRDefault="00B71ECE" w:rsidP="0090693E">
      <w:pPr>
        <w:pStyle w:val="corte4fondo"/>
        <w:spacing w:line="276" w:lineRule="auto"/>
        <w:ind w:right="49" w:firstLine="0"/>
        <w:jc w:val="right"/>
        <w:rPr>
          <w:rFonts w:cs="Arial"/>
          <w:color w:val="2E74B5" w:themeColor="accent1" w:themeShade="BF"/>
          <w:sz w:val="20"/>
        </w:rPr>
      </w:pPr>
      <w:r w:rsidRPr="0008101C">
        <w:rPr>
          <w:rFonts w:cs="Arial"/>
          <w:color w:val="2E74B5" w:themeColor="accent1" w:themeShade="BF"/>
          <w:sz w:val="20"/>
        </w:rPr>
        <w:t>[Énfasis añadido].</w:t>
      </w:r>
    </w:p>
    <w:p w:rsidR="00B71ECE" w:rsidRPr="0090693E" w:rsidRDefault="00B71ECE" w:rsidP="0090693E">
      <w:pPr>
        <w:pStyle w:val="corte4fondo"/>
        <w:spacing w:line="276" w:lineRule="auto"/>
        <w:ind w:right="49" w:firstLine="0"/>
        <w:rPr>
          <w:rFonts w:cs="Arial"/>
          <w:color w:val="2E74B5" w:themeColor="accent1" w:themeShade="BF"/>
          <w:sz w:val="22"/>
          <w:szCs w:val="22"/>
        </w:rPr>
      </w:pPr>
    </w:p>
    <w:p w:rsidR="00B71ECE"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Asimismo, los Lineamientos para la Recepción, Substanciación, Resolución y Cumplimiento de los Recursos de Revisión promovidos ante la CEGAIP, en la porción normativa que interesa señalan lo siguiente</w:t>
      </w:r>
    </w:p>
    <w:p w:rsidR="00B71ECE" w:rsidRPr="0008101C" w:rsidRDefault="00B71ECE" w:rsidP="0090693E">
      <w:pPr>
        <w:pStyle w:val="corte4fondo"/>
        <w:spacing w:line="276" w:lineRule="auto"/>
        <w:ind w:right="49" w:firstLine="0"/>
        <w:rPr>
          <w:rFonts w:cs="Arial"/>
          <w:color w:val="2E74B5" w:themeColor="accent1" w:themeShade="BF"/>
          <w:sz w:val="24"/>
          <w:szCs w:val="24"/>
        </w:rPr>
      </w:pPr>
    </w:p>
    <w:p w:rsidR="00B71ECE" w:rsidRPr="0008101C" w:rsidRDefault="00B71ECE" w:rsidP="0090693E">
      <w:pPr>
        <w:pStyle w:val="corte4fondo"/>
        <w:spacing w:line="276" w:lineRule="auto"/>
        <w:ind w:left="1134" w:right="1467" w:firstLine="0"/>
        <w:rPr>
          <w:rFonts w:cs="Arial"/>
          <w:color w:val="2E74B5" w:themeColor="accent1" w:themeShade="BF"/>
          <w:sz w:val="20"/>
        </w:rPr>
      </w:pPr>
      <w:r w:rsidRPr="0008101C">
        <w:rPr>
          <w:rFonts w:cs="Arial"/>
          <w:b/>
          <w:color w:val="2E74B5" w:themeColor="accent1" w:themeShade="BF"/>
          <w:sz w:val="20"/>
        </w:rPr>
        <w:t xml:space="preserve">“Décimo segundo. </w:t>
      </w:r>
      <w:r w:rsidRPr="0008101C">
        <w:rPr>
          <w:rFonts w:cs="Arial"/>
          <w:color w:val="2E74B5" w:themeColor="accent1" w:themeShade="BF"/>
          <w:sz w:val="20"/>
        </w:rPr>
        <w:t xml:space="preserve">Acumulación. </w:t>
      </w:r>
    </w:p>
    <w:p w:rsidR="00B71ECE" w:rsidRPr="0008101C" w:rsidRDefault="00B71ECE" w:rsidP="0090693E">
      <w:pPr>
        <w:pStyle w:val="corte4fondo"/>
        <w:spacing w:line="276" w:lineRule="auto"/>
        <w:ind w:left="1134" w:right="1467" w:firstLine="0"/>
        <w:rPr>
          <w:rFonts w:cs="Arial"/>
          <w:color w:val="2E74B5" w:themeColor="accent1" w:themeShade="BF"/>
          <w:sz w:val="20"/>
        </w:rPr>
      </w:pPr>
    </w:p>
    <w:p w:rsidR="00B71ECE" w:rsidRPr="0008101C" w:rsidRDefault="00B71ECE" w:rsidP="0090693E">
      <w:pPr>
        <w:pStyle w:val="corte4fondo"/>
        <w:spacing w:line="276" w:lineRule="auto"/>
        <w:ind w:left="1134" w:right="1467" w:firstLine="0"/>
        <w:rPr>
          <w:rFonts w:cs="Arial"/>
          <w:color w:val="2E74B5" w:themeColor="accent1" w:themeShade="BF"/>
          <w:sz w:val="20"/>
        </w:rPr>
      </w:pPr>
      <w:r w:rsidRPr="0008101C">
        <w:rPr>
          <w:rFonts w:cs="Arial"/>
          <w:color w:val="2E74B5" w:themeColor="accent1" w:themeShade="BF"/>
          <w:sz w:val="20"/>
        </w:rPr>
        <w:t xml:space="preserve">Recibido el Recurso de Revisión. El Comisionado Ponente podrá solicitar al Pleno la acumulación de recursos de revisión, quien en todo caso podrá considerar los mismos elementos de valoración para dos o más recursos de revisión y resolver en el mismo sentido. Una vez cerrada la instrucción no se podrá emitir acuerdo de acumulación. </w:t>
      </w:r>
    </w:p>
    <w:p w:rsidR="00B71ECE" w:rsidRPr="0008101C" w:rsidRDefault="00B71ECE" w:rsidP="0090693E">
      <w:pPr>
        <w:pStyle w:val="corte4fondo"/>
        <w:spacing w:line="276" w:lineRule="auto"/>
        <w:ind w:left="1134" w:right="1467" w:firstLine="0"/>
        <w:rPr>
          <w:rFonts w:cs="Arial"/>
          <w:color w:val="2E74B5" w:themeColor="accent1" w:themeShade="BF"/>
          <w:sz w:val="20"/>
        </w:rPr>
      </w:pPr>
    </w:p>
    <w:p w:rsidR="00B71ECE" w:rsidRPr="0008101C" w:rsidRDefault="00B71ECE" w:rsidP="0090693E">
      <w:pPr>
        <w:pStyle w:val="corte4fondo"/>
        <w:spacing w:line="276" w:lineRule="auto"/>
        <w:ind w:left="1134" w:right="1467" w:firstLine="0"/>
        <w:rPr>
          <w:rFonts w:cs="Arial"/>
          <w:color w:val="2E74B5" w:themeColor="accent1" w:themeShade="BF"/>
          <w:sz w:val="20"/>
        </w:rPr>
      </w:pPr>
      <w:r w:rsidRPr="0008101C">
        <w:rPr>
          <w:rFonts w:cs="Arial"/>
          <w:color w:val="2E74B5" w:themeColor="accent1" w:themeShade="BF"/>
          <w:sz w:val="20"/>
        </w:rPr>
        <w:t>[...]”.</w:t>
      </w:r>
    </w:p>
    <w:p w:rsidR="00B71ECE" w:rsidRPr="0090693E" w:rsidRDefault="00B71ECE" w:rsidP="0090693E">
      <w:pPr>
        <w:pStyle w:val="corte4fondo"/>
        <w:spacing w:line="276" w:lineRule="auto"/>
        <w:ind w:right="49" w:firstLine="0"/>
        <w:rPr>
          <w:rFonts w:cs="Arial"/>
          <w:color w:val="2E74B5" w:themeColor="accent1" w:themeShade="BF"/>
          <w:sz w:val="24"/>
          <w:szCs w:val="24"/>
        </w:rPr>
      </w:pPr>
    </w:p>
    <w:p w:rsidR="00B71ECE" w:rsidRPr="0008101C" w:rsidRDefault="0008101C"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Además,</w:t>
      </w:r>
      <w:r w:rsidR="00B71ECE" w:rsidRPr="0008101C">
        <w:rPr>
          <w:rFonts w:cs="Arial"/>
          <w:color w:val="2E74B5" w:themeColor="accent1" w:themeShade="BF"/>
          <w:sz w:val="24"/>
          <w:szCs w:val="24"/>
        </w:rPr>
        <w:t xml:space="preserve"> los Lineamientos para la Implementación y Operación de la Plataforma Nacional de Transparencia, en la porción normativa que interesa señalan lo siguiente: </w:t>
      </w:r>
    </w:p>
    <w:p w:rsidR="00B71ECE" w:rsidRPr="0008101C" w:rsidRDefault="00B71ECE" w:rsidP="0090693E">
      <w:pPr>
        <w:pStyle w:val="corte4fondo"/>
        <w:spacing w:line="276" w:lineRule="auto"/>
        <w:ind w:left="1134" w:right="1469" w:firstLine="0"/>
        <w:rPr>
          <w:rFonts w:cs="Arial"/>
          <w:color w:val="2E74B5" w:themeColor="accent1" w:themeShade="BF"/>
          <w:sz w:val="24"/>
          <w:szCs w:val="24"/>
        </w:rPr>
      </w:pPr>
    </w:p>
    <w:p w:rsidR="00B71ECE" w:rsidRPr="0008101C" w:rsidRDefault="00B71ECE" w:rsidP="0090693E">
      <w:pPr>
        <w:pStyle w:val="corte4fondo"/>
        <w:spacing w:line="276" w:lineRule="auto"/>
        <w:ind w:left="1134" w:right="1469" w:firstLine="0"/>
        <w:rPr>
          <w:rFonts w:cs="Arial"/>
          <w:color w:val="2E74B5" w:themeColor="accent1" w:themeShade="BF"/>
          <w:sz w:val="20"/>
        </w:rPr>
      </w:pPr>
      <w:r w:rsidRPr="0008101C">
        <w:rPr>
          <w:rFonts w:cs="Arial"/>
          <w:b/>
          <w:color w:val="2E74B5" w:themeColor="accent1" w:themeShade="BF"/>
          <w:sz w:val="20"/>
        </w:rPr>
        <w:t xml:space="preserve">“Octogésimo octavo. </w:t>
      </w:r>
      <w:r w:rsidRPr="0008101C">
        <w:rPr>
          <w:rFonts w:cs="Arial"/>
          <w:color w:val="2E74B5" w:themeColor="accent1" w:themeShade="BF"/>
          <w:sz w:val="20"/>
        </w:rPr>
        <w:t xml:space="preserve">Cuando exista la posibilidad de acumular recursos de revisión </w:t>
      </w:r>
      <w:r w:rsidRPr="0008101C">
        <w:rPr>
          <w:rFonts w:cs="Arial"/>
          <w:b/>
          <w:color w:val="2E74B5" w:themeColor="accent1" w:themeShade="BF"/>
          <w:sz w:val="20"/>
        </w:rPr>
        <w:t>por haber derivado de respuestas a solicitudes cuyo tema sea similar o idéntico y se trate del mismo sujeto obligado o cuando haya identidad de partes,</w:t>
      </w:r>
      <w:r w:rsidRPr="0008101C">
        <w:rPr>
          <w:rFonts w:cs="Arial"/>
          <w:color w:val="2E74B5" w:themeColor="accent1" w:themeShade="BF"/>
          <w:sz w:val="20"/>
        </w:rPr>
        <w:t xml:space="preserve"> aquellos encargados de los recursos que fueron recibidos con posterioridad podrán requerir la acumulación al encargado de aquel recurso que haya sido recibido primero, mediante el SIGEMI. Para tales efectos, podrán iniciar un subproceso de acumulación, en el cual deberán indicar a qué recurso requieren que sea acumulado. El encargado que tiene recurso más antiguo. Será notificado de dicha solicitud a través del tablero de “Notificaciones” y podrá aceptar o rechazar la acumulación. Sin importar cuál sea la elección, será notificada a quien solicitó la acumulación mediante el tablero “notificaciones.” </w:t>
      </w:r>
    </w:p>
    <w:p w:rsidR="00B71ECE" w:rsidRPr="0008101C" w:rsidRDefault="00B71ECE" w:rsidP="0090693E">
      <w:pPr>
        <w:pStyle w:val="corte4fondo"/>
        <w:spacing w:line="276" w:lineRule="auto"/>
        <w:ind w:left="1134" w:right="1469" w:firstLine="0"/>
        <w:rPr>
          <w:rFonts w:cs="Arial"/>
          <w:color w:val="2E74B5" w:themeColor="accent1" w:themeShade="BF"/>
          <w:sz w:val="20"/>
        </w:rPr>
      </w:pPr>
    </w:p>
    <w:p w:rsidR="00B71ECE" w:rsidRPr="0008101C" w:rsidRDefault="00B71ECE" w:rsidP="0090693E">
      <w:pPr>
        <w:pStyle w:val="corte4fondo"/>
        <w:spacing w:line="276" w:lineRule="auto"/>
        <w:ind w:left="1134" w:right="1469" w:firstLine="0"/>
        <w:rPr>
          <w:rFonts w:cs="Arial"/>
          <w:color w:val="2E74B5" w:themeColor="accent1" w:themeShade="BF"/>
          <w:sz w:val="20"/>
        </w:rPr>
      </w:pPr>
      <w:r w:rsidRPr="0008101C">
        <w:rPr>
          <w:rFonts w:cs="Arial"/>
          <w:color w:val="2E74B5" w:themeColor="accent1" w:themeShade="BF"/>
          <w:sz w:val="20"/>
        </w:rPr>
        <w:t>[...]”</w:t>
      </w:r>
    </w:p>
    <w:p w:rsidR="00B71ECE" w:rsidRPr="0008101C" w:rsidRDefault="00B71ECE" w:rsidP="0090693E">
      <w:pPr>
        <w:pStyle w:val="corte4fondo"/>
        <w:spacing w:line="276" w:lineRule="auto"/>
        <w:ind w:left="1134" w:right="1469" w:firstLine="0"/>
        <w:rPr>
          <w:rFonts w:cs="Arial"/>
          <w:color w:val="2E74B5" w:themeColor="accent1" w:themeShade="BF"/>
          <w:sz w:val="20"/>
        </w:rPr>
      </w:pPr>
    </w:p>
    <w:p w:rsidR="00B71ECE" w:rsidRPr="0008101C" w:rsidRDefault="00B71ECE" w:rsidP="0090693E">
      <w:pPr>
        <w:pStyle w:val="corte4fondo"/>
        <w:spacing w:line="276" w:lineRule="auto"/>
        <w:ind w:right="49" w:firstLine="0"/>
        <w:rPr>
          <w:rFonts w:cs="Arial"/>
          <w:color w:val="2E74B5" w:themeColor="accent1" w:themeShade="BF"/>
          <w:sz w:val="20"/>
        </w:rPr>
      </w:pPr>
    </w:p>
    <w:p w:rsidR="00B71ECE"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 xml:space="preserve">Como puede advertirse de la citada normatividad, se concluye que es procedente la acumulación en la tramitación de recursos de revisión, cuando en diversas solicitudes se requiera información cuyo tema resulte similar o cuando </w:t>
      </w:r>
      <w:r w:rsidRPr="0008101C">
        <w:rPr>
          <w:rFonts w:cs="Arial"/>
          <w:color w:val="2E74B5" w:themeColor="accent1" w:themeShade="BF"/>
          <w:sz w:val="24"/>
          <w:szCs w:val="24"/>
        </w:rPr>
        <w:lastRenderedPageBreak/>
        <w:t xml:space="preserve">haya identidad de partes y que aquello que se requiere sea del mismo ámbito, por lo que del análisis de la respuesta otorgada por el Poder Judicial del Estado, si bien es cierto que existe identidad de partes es decir, el solicitante y el Sujeto Obligado son coincidentes, en el caso concreto, esta Comisión estima que la naturaleza de la </w:t>
      </w:r>
      <w:r w:rsidR="00971BF2" w:rsidRPr="0008101C">
        <w:rPr>
          <w:rFonts w:cs="Arial"/>
          <w:color w:val="2E74B5" w:themeColor="accent1" w:themeShade="BF"/>
          <w:sz w:val="24"/>
          <w:szCs w:val="24"/>
        </w:rPr>
        <w:t xml:space="preserve">diversa </w:t>
      </w:r>
      <w:r w:rsidRPr="0008101C">
        <w:rPr>
          <w:rFonts w:cs="Arial"/>
          <w:color w:val="2E74B5" w:themeColor="accent1" w:themeShade="BF"/>
          <w:sz w:val="24"/>
          <w:szCs w:val="24"/>
        </w:rPr>
        <w:t>información requerida, conlleva a que en la entrega de la información no se atiende de manera efectiva el derecho de acceso del particular, puesto que derivado de la acumulación efectuada por la autoridad, no se atiende al principio de gratuidad, ya que por el cúmulo de información que contiene la respuesta, se genera un coste mayor para el particular a diferencia del trámite individual que debió otorgársele en el momento procesal oportuno, ya que debido a la acumulación no se observa de manera correcta lo establecido en el artículo 165</w:t>
      </w:r>
      <w:r w:rsidRPr="0008101C">
        <w:rPr>
          <w:rStyle w:val="Refdenotaalpie"/>
          <w:rFonts w:cs="Arial"/>
          <w:color w:val="2E74B5" w:themeColor="accent1" w:themeShade="BF"/>
          <w:sz w:val="24"/>
          <w:szCs w:val="24"/>
        </w:rPr>
        <w:footnoteReference w:id="8"/>
      </w:r>
      <w:r w:rsidRPr="0008101C">
        <w:rPr>
          <w:rFonts w:cs="Arial"/>
          <w:color w:val="2E74B5" w:themeColor="accent1" w:themeShade="BF"/>
          <w:sz w:val="24"/>
          <w:szCs w:val="24"/>
        </w:rPr>
        <w:t xml:space="preserve"> de la Ley de la materia es decir, que la información se entregue sin costo, cuando implique la entrega de no más de veinte hojas simples. </w:t>
      </w:r>
    </w:p>
    <w:p w:rsidR="00B71ECE" w:rsidRPr="0008101C" w:rsidRDefault="00B71ECE" w:rsidP="0090693E">
      <w:pPr>
        <w:pStyle w:val="corte4fondo"/>
        <w:spacing w:line="276" w:lineRule="auto"/>
        <w:ind w:right="49" w:firstLine="0"/>
        <w:rPr>
          <w:rFonts w:cs="Arial"/>
          <w:color w:val="2E74B5" w:themeColor="accent1" w:themeShade="BF"/>
          <w:sz w:val="24"/>
          <w:szCs w:val="24"/>
        </w:rPr>
      </w:pPr>
    </w:p>
    <w:p w:rsidR="00B71ECE" w:rsidRPr="0008101C" w:rsidRDefault="00B71ECE" w:rsidP="0090693E">
      <w:pPr>
        <w:pStyle w:val="corte4fondo"/>
        <w:spacing w:line="276" w:lineRule="auto"/>
        <w:ind w:right="49" w:firstLine="708"/>
        <w:rPr>
          <w:rFonts w:cs="Arial"/>
          <w:color w:val="2E74B5" w:themeColor="accent1" w:themeShade="BF"/>
          <w:sz w:val="24"/>
          <w:szCs w:val="24"/>
        </w:rPr>
      </w:pPr>
      <w:r w:rsidRPr="0008101C">
        <w:rPr>
          <w:rFonts w:cs="Arial"/>
          <w:color w:val="2E74B5" w:themeColor="accent1" w:themeShade="BF"/>
          <w:sz w:val="24"/>
          <w:szCs w:val="24"/>
        </w:rPr>
        <w:t>Por tanto, este Órgano Garante estima que en atención a lo establecido en los artículos 17</w:t>
      </w:r>
      <w:r w:rsidRPr="0008101C">
        <w:rPr>
          <w:rStyle w:val="Refdenotaalpie"/>
          <w:rFonts w:cs="Arial"/>
          <w:color w:val="2E74B5" w:themeColor="accent1" w:themeShade="BF"/>
          <w:sz w:val="24"/>
          <w:szCs w:val="24"/>
        </w:rPr>
        <w:footnoteReference w:id="9"/>
      </w:r>
      <w:r w:rsidRPr="0008101C">
        <w:rPr>
          <w:rFonts w:cs="Arial"/>
          <w:color w:val="2E74B5" w:themeColor="accent1" w:themeShade="BF"/>
          <w:sz w:val="24"/>
          <w:szCs w:val="24"/>
        </w:rPr>
        <w:t xml:space="preserve"> y 62</w:t>
      </w:r>
      <w:r w:rsidRPr="0008101C">
        <w:rPr>
          <w:rStyle w:val="Refdenotaalpie"/>
          <w:rFonts w:cs="Arial"/>
          <w:color w:val="2E74B5" w:themeColor="accent1" w:themeShade="BF"/>
          <w:sz w:val="24"/>
          <w:szCs w:val="24"/>
        </w:rPr>
        <w:footnoteReference w:id="10"/>
      </w:r>
      <w:r w:rsidRPr="0008101C">
        <w:rPr>
          <w:rFonts w:cs="Arial"/>
          <w:color w:val="2E74B5" w:themeColor="accent1" w:themeShade="BF"/>
          <w:sz w:val="24"/>
          <w:szCs w:val="24"/>
        </w:rPr>
        <w:t xml:space="preserve"> de la Ley de Transparencia y Acceso a la Información Pública del Estado, el Poder Judicial del Estado, debe atender de manera individual cada folio de solicitud de acceso y en consecuencia privilegiar la entrega sin costo de la información solicitada, en atención a las consideraciones vertidas en el considerando de la presente resolución, tal como lo refiere el numeral 165</w:t>
      </w:r>
      <w:r w:rsidRPr="0008101C">
        <w:rPr>
          <w:rStyle w:val="Refdenotaalpie"/>
          <w:rFonts w:cs="Arial"/>
          <w:color w:val="2E74B5" w:themeColor="accent1" w:themeShade="BF"/>
          <w:sz w:val="24"/>
          <w:szCs w:val="24"/>
        </w:rPr>
        <w:footnoteReference w:id="11"/>
      </w:r>
      <w:r w:rsidRPr="0008101C">
        <w:rPr>
          <w:rFonts w:cs="Arial"/>
          <w:color w:val="2E74B5" w:themeColor="accent1" w:themeShade="BF"/>
          <w:sz w:val="24"/>
          <w:szCs w:val="24"/>
        </w:rPr>
        <w:t xml:space="preserve"> de la citada normatividad, ello así con la finalidad de instituir procedimientos y condiciones homogéneas en el ejercicio del derecho de acceso a la información, mediante procedimientos sencillos y expeditos para los particulares.  </w:t>
      </w:r>
    </w:p>
    <w:p w:rsidR="00B71ECE" w:rsidRPr="0090693E" w:rsidRDefault="00B71ECE" w:rsidP="0090693E">
      <w:pPr>
        <w:pStyle w:val="corte4fondo"/>
        <w:spacing w:line="276" w:lineRule="auto"/>
        <w:rPr>
          <w:rFonts w:cs="Arial"/>
          <w:color w:val="2E74B5" w:themeColor="accent1" w:themeShade="BF"/>
          <w:sz w:val="24"/>
          <w:szCs w:val="24"/>
        </w:rPr>
      </w:pPr>
    </w:p>
    <w:p w:rsidR="007B4CFC" w:rsidRPr="0008101C" w:rsidRDefault="00BB321B" w:rsidP="0090693E">
      <w:pPr>
        <w:pStyle w:val="corte4fondo"/>
        <w:tabs>
          <w:tab w:val="left" w:pos="567"/>
        </w:tabs>
        <w:spacing w:line="276" w:lineRule="auto"/>
        <w:rPr>
          <w:rFonts w:cs="Arial"/>
          <w:b/>
          <w:color w:val="2E74B5" w:themeColor="accent1" w:themeShade="BF"/>
          <w:sz w:val="24"/>
          <w:szCs w:val="24"/>
        </w:rPr>
      </w:pPr>
      <w:r w:rsidRPr="0008101C">
        <w:rPr>
          <w:rFonts w:cs="Arial"/>
          <w:b/>
          <w:color w:val="2E74B5" w:themeColor="accent1" w:themeShade="BF"/>
          <w:sz w:val="24"/>
          <w:szCs w:val="24"/>
        </w:rPr>
        <w:t>6.2.</w:t>
      </w:r>
      <w:r w:rsidR="007B4CFC" w:rsidRPr="0008101C">
        <w:rPr>
          <w:rFonts w:cs="Arial"/>
          <w:b/>
          <w:color w:val="2E74B5" w:themeColor="accent1" w:themeShade="BF"/>
          <w:sz w:val="24"/>
          <w:szCs w:val="24"/>
        </w:rPr>
        <w:t xml:space="preserve"> Información pública.</w:t>
      </w:r>
    </w:p>
    <w:p w:rsidR="007B4CFC" w:rsidRPr="0008101C" w:rsidRDefault="007B4CFC" w:rsidP="0090693E">
      <w:pPr>
        <w:pStyle w:val="corte4fondo"/>
        <w:tabs>
          <w:tab w:val="left" w:pos="708"/>
          <w:tab w:val="left" w:pos="1416"/>
          <w:tab w:val="left" w:pos="2124"/>
          <w:tab w:val="left" w:pos="2832"/>
          <w:tab w:val="left" w:pos="3540"/>
          <w:tab w:val="center" w:pos="4278"/>
        </w:tabs>
        <w:spacing w:line="276" w:lineRule="auto"/>
        <w:ind w:firstLine="0"/>
        <w:rPr>
          <w:rFonts w:cs="Arial"/>
          <w:b/>
          <w:color w:val="2E74B5" w:themeColor="accent1" w:themeShade="BF"/>
          <w:sz w:val="24"/>
          <w:szCs w:val="24"/>
        </w:rPr>
      </w:pPr>
    </w:p>
    <w:p w:rsidR="007B4CFC" w:rsidRPr="0008101C" w:rsidRDefault="00C8075C" w:rsidP="0090693E">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08101C">
        <w:rPr>
          <w:rFonts w:ascii="Arial" w:eastAsia="Arial Unicode MS" w:hAnsi="Arial" w:cs="Arial"/>
          <w:color w:val="2E74B5" w:themeColor="accent1" w:themeShade="BF"/>
        </w:rPr>
        <w:tab/>
        <w:t>En el caso, parte</w:t>
      </w:r>
      <w:r w:rsidR="007B4CFC" w:rsidRPr="0008101C">
        <w:rPr>
          <w:rFonts w:ascii="Arial" w:eastAsia="Arial Unicode MS" w:hAnsi="Arial" w:cs="Arial"/>
          <w:color w:val="2E74B5" w:themeColor="accent1" w:themeShade="BF"/>
        </w:rPr>
        <w:t xml:space="preserve"> información que </w:t>
      </w:r>
      <w:r w:rsidRPr="0008101C">
        <w:rPr>
          <w:rFonts w:ascii="Arial" w:eastAsia="Arial Unicode MS" w:hAnsi="Arial" w:cs="Arial"/>
          <w:color w:val="2E74B5" w:themeColor="accent1" w:themeShade="BF"/>
        </w:rPr>
        <w:t xml:space="preserve">también </w:t>
      </w:r>
      <w:r w:rsidR="007B4CFC" w:rsidRPr="0008101C">
        <w:rPr>
          <w:rFonts w:ascii="Arial" w:eastAsia="Arial Unicode MS" w:hAnsi="Arial" w:cs="Arial"/>
          <w:color w:val="2E74B5" w:themeColor="accent1" w:themeShade="BF"/>
        </w:rPr>
        <w:t xml:space="preserve">solicitó el hoy recurrente es pública en virtud de que el solicitante pidió a la autoridad información sobre el artículo 84, fracción XII, de la Ley de Transparencia y Acceso a la Información Pública del Estado, es </w:t>
      </w:r>
      <w:r w:rsidRPr="0008101C">
        <w:rPr>
          <w:rFonts w:ascii="Arial" w:eastAsia="Arial Unicode MS" w:hAnsi="Arial" w:cs="Arial"/>
          <w:color w:val="2E74B5" w:themeColor="accent1" w:themeShade="BF"/>
        </w:rPr>
        <w:t>decir, información</w:t>
      </w:r>
      <w:r w:rsidR="007B4CFC" w:rsidRPr="0008101C">
        <w:rPr>
          <w:rFonts w:ascii="Arial" w:eastAsia="Arial Unicode MS" w:hAnsi="Arial" w:cs="Arial"/>
          <w:color w:val="2E74B5" w:themeColor="accent1" w:themeShade="BF"/>
        </w:rPr>
        <w:t xml:space="preserve"> que el sujeto obligado debe de transparentar en términos del artículo 3° fracción XX de esa ley, en otras palabras, la información solicitada es pública.</w:t>
      </w:r>
    </w:p>
    <w:p w:rsidR="00A15050" w:rsidRPr="00BB321B" w:rsidRDefault="00A15050" w:rsidP="0090693E">
      <w:pPr>
        <w:pStyle w:val="corte4fondo"/>
        <w:tabs>
          <w:tab w:val="left" w:pos="567"/>
        </w:tabs>
        <w:spacing w:line="276" w:lineRule="auto"/>
        <w:ind w:firstLine="0"/>
        <w:rPr>
          <w:rFonts w:cs="Arial"/>
          <w:color w:val="2E74B5" w:themeColor="accent1" w:themeShade="BF"/>
          <w:sz w:val="24"/>
          <w:szCs w:val="24"/>
        </w:rPr>
      </w:pPr>
    </w:p>
    <w:p w:rsidR="00A15050" w:rsidRPr="00BB321B" w:rsidRDefault="00A15050" w:rsidP="0090693E">
      <w:pPr>
        <w:pStyle w:val="corte4fondo"/>
        <w:tabs>
          <w:tab w:val="left" w:pos="567"/>
        </w:tabs>
        <w:spacing w:line="276" w:lineRule="auto"/>
        <w:ind w:left="680" w:firstLine="0"/>
        <w:rPr>
          <w:rFonts w:cs="Arial"/>
          <w:i/>
          <w:color w:val="2E74B5" w:themeColor="accent1" w:themeShade="BF"/>
          <w:sz w:val="20"/>
        </w:rPr>
      </w:pPr>
      <w:r w:rsidRPr="00BB321B">
        <w:rPr>
          <w:rFonts w:cs="Arial"/>
          <w:i/>
          <w:color w:val="2E74B5" w:themeColor="accent1" w:themeShade="BF"/>
          <w:sz w:val="20"/>
        </w:rPr>
        <w:t>“</w:t>
      </w:r>
      <w:r w:rsidRPr="00BB321B">
        <w:rPr>
          <w:rFonts w:cs="Arial"/>
          <w:b/>
          <w:i/>
          <w:color w:val="2E74B5" w:themeColor="accent1" w:themeShade="BF"/>
          <w:sz w:val="20"/>
        </w:rPr>
        <w:t>ARTÍCULO 84.</w:t>
      </w:r>
      <w:r w:rsidRPr="00BB321B">
        <w:rPr>
          <w:rFonts w:cs="Arial"/>
          <w:i/>
          <w:color w:val="2E74B5" w:themeColor="accent1" w:themeShade="BF"/>
          <w:sz w:val="20"/>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A15050" w:rsidRPr="00BB321B" w:rsidRDefault="00A15050" w:rsidP="0090693E">
      <w:pPr>
        <w:pStyle w:val="corte4fondo"/>
        <w:tabs>
          <w:tab w:val="left" w:pos="567"/>
        </w:tabs>
        <w:spacing w:line="276" w:lineRule="auto"/>
        <w:ind w:left="680" w:firstLine="0"/>
        <w:rPr>
          <w:rFonts w:cs="Arial"/>
          <w:i/>
          <w:color w:val="2E74B5" w:themeColor="accent1" w:themeShade="BF"/>
          <w:sz w:val="20"/>
        </w:rPr>
      </w:pPr>
    </w:p>
    <w:p w:rsidR="00A15050" w:rsidRPr="00BB321B" w:rsidRDefault="00A15050" w:rsidP="0090693E">
      <w:pPr>
        <w:pStyle w:val="corte4fondo"/>
        <w:tabs>
          <w:tab w:val="left" w:pos="567"/>
        </w:tabs>
        <w:spacing w:line="276" w:lineRule="auto"/>
        <w:ind w:left="680" w:firstLine="0"/>
        <w:rPr>
          <w:rFonts w:cs="Arial"/>
          <w:i/>
          <w:color w:val="2E74B5" w:themeColor="accent1" w:themeShade="BF"/>
          <w:sz w:val="20"/>
        </w:rPr>
      </w:pPr>
      <w:r w:rsidRPr="00BB321B">
        <w:rPr>
          <w:rFonts w:cs="Arial"/>
          <w:i/>
          <w:color w:val="2E74B5" w:themeColor="accent1" w:themeShade="BF"/>
          <w:sz w:val="20"/>
        </w:rPr>
        <w:t>[…]</w:t>
      </w:r>
    </w:p>
    <w:p w:rsidR="00A15050" w:rsidRPr="0090693E" w:rsidRDefault="00A15050" w:rsidP="0090693E">
      <w:pPr>
        <w:pStyle w:val="corte4fondo"/>
        <w:tabs>
          <w:tab w:val="left" w:pos="567"/>
        </w:tabs>
        <w:spacing w:line="276" w:lineRule="auto"/>
        <w:ind w:left="680" w:firstLine="0"/>
        <w:rPr>
          <w:rFonts w:cs="Arial"/>
          <w:i/>
          <w:color w:val="2E74B5" w:themeColor="accent1" w:themeShade="BF"/>
          <w:sz w:val="20"/>
        </w:rPr>
      </w:pPr>
      <w:r w:rsidRPr="00BB321B">
        <w:rPr>
          <w:rFonts w:cs="Arial"/>
          <w:i/>
          <w:color w:val="2E74B5" w:themeColor="accent1" w:themeShade="BF"/>
          <w:sz w:val="20"/>
        </w:rPr>
        <w:lastRenderedPageBreak/>
        <w:t xml:space="preserve">XII. La agenda de actividades de los titulares de las dependencias públicas, reuniones públicas de los diversos consejos, gabinetes, cabildos, </w:t>
      </w:r>
      <w:r w:rsidRPr="00BB321B">
        <w:rPr>
          <w:rFonts w:cs="Arial"/>
          <w:b/>
          <w:i/>
          <w:color w:val="2E74B5" w:themeColor="accent1" w:themeShade="BF"/>
          <w:sz w:val="20"/>
        </w:rPr>
        <w:t>sesiones plenarias</w:t>
      </w:r>
      <w:r w:rsidRPr="00BB321B">
        <w:rPr>
          <w:rFonts w:cs="Arial"/>
          <w:i/>
          <w:color w:val="2E74B5" w:themeColor="accent1" w:themeShade="BF"/>
          <w:sz w:val="20"/>
        </w:rPr>
        <w:t xml:space="preserve"> y sesiones de trabajo a las que convoquen;</w:t>
      </w:r>
    </w:p>
    <w:p w:rsidR="007B4CFC" w:rsidRPr="0090693E" w:rsidRDefault="007B4CFC" w:rsidP="0090693E">
      <w:pPr>
        <w:pStyle w:val="corte4fondo"/>
        <w:tabs>
          <w:tab w:val="left" w:pos="567"/>
        </w:tabs>
        <w:spacing w:line="276" w:lineRule="auto"/>
        <w:ind w:left="680" w:firstLine="0"/>
        <w:rPr>
          <w:rFonts w:cs="Arial"/>
          <w:i/>
          <w:color w:val="2E74B5" w:themeColor="accent1" w:themeShade="BF"/>
          <w:sz w:val="20"/>
        </w:rPr>
      </w:pPr>
    </w:p>
    <w:p w:rsidR="007B4CFC" w:rsidRPr="0090693E" w:rsidRDefault="007B4CFC" w:rsidP="0090693E">
      <w:pPr>
        <w:pStyle w:val="corte4fondo"/>
        <w:tabs>
          <w:tab w:val="left" w:pos="567"/>
        </w:tabs>
        <w:spacing w:line="276" w:lineRule="auto"/>
        <w:ind w:left="680" w:firstLine="0"/>
        <w:rPr>
          <w:rFonts w:cs="Arial"/>
          <w:i/>
          <w:color w:val="2E74B5" w:themeColor="accent1" w:themeShade="BF"/>
          <w:sz w:val="20"/>
        </w:rPr>
      </w:pPr>
      <w:r w:rsidRPr="0090693E">
        <w:rPr>
          <w:rFonts w:cs="Arial"/>
          <w:b/>
          <w:i/>
          <w:color w:val="2E74B5" w:themeColor="accent1" w:themeShade="BF"/>
          <w:sz w:val="20"/>
        </w:rPr>
        <w:t>ARTÍCULO 3°.</w:t>
      </w:r>
      <w:r w:rsidRPr="0090693E">
        <w:rPr>
          <w:rFonts w:cs="Arial"/>
          <w:i/>
          <w:color w:val="2E74B5" w:themeColor="accent1" w:themeShade="BF"/>
          <w:sz w:val="20"/>
        </w:rPr>
        <w:t xml:space="preserve"> Para los efectos de la presente Ley se entenderá por:</w:t>
      </w:r>
    </w:p>
    <w:p w:rsidR="00A15050" w:rsidRPr="0090693E" w:rsidRDefault="007B4CFC" w:rsidP="0090693E">
      <w:pPr>
        <w:pStyle w:val="corte4fondo"/>
        <w:tabs>
          <w:tab w:val="left" w:pos="567"/>
        </w:tabs>
        <w:spacing w:line="276" w:lineRule="auto"/>
        <w:ind w:left="680" w:firstLine="0"/>
        <w:rPr>
          <w:rFonts w:cs="Arial"/>
          <w:i/>
          <w:color w:val="2E74B5" w:themeColor="accent1" w:themeShade="BF"/>
          <w:sz w:val="20"/>
        </w:rPr>
      </w:pPr>
      <w:r w:rsidRPr="0090693E">
        <w:rPr>
          <w:rFonts w:cs="Arial"/>
          <w:i/>
          <w:color w:val="2E74B5" w:themeColor="accent1" w:themeShade="BF"/>
          <w:sz w:val="20"/>
        </w:rPr>
        <w:t>XX. Obligaciones de Transparencia: la información que los sujetos obligados deben difundir de manera obligatoria, permanente y actualizada, sin que medie para ello, solicitud de acceso;</w:t>
      </w:r>
    </w:p>
    <w:p w:rsidR="007B4CFC" w:rsidRPr="0090693E" w:rsidRDefault="007B4CFC" w:rsidP="0090693E">
      <w:pPr>
        <w:pStyle w:val="corte4fondo"/>
        <w:tabs>
          <w:tab w:val="left" w:pos="567"/>
        </w:tabs>
        <w:spacing w:line="276" w:lineRule="auto"/>
        <w:ind w:left="680" w:firstLine="0"/>
        <w:rPr>
          <w:rFonts w:cs="Arial"/>
          <w:i/>
          <w:color w:val="2E74B5" w:themeColor="accent1" w:themeShade="BF"/>
          <w:sz w:val="20"/>
        </w:rPr>
      </w:pPr>
    </w:p>
    <w:p w:rsidR="004C66B2" w:rsidRPr="0008101C" w:rsidRDefault="004C66B2" w:rsidP="0090693E">
      <w:pPr>
        <w:pStyle w:val="corte4fondo"/>
        <w:tabs>
          <w:tab w:val="left" w:pos="567"/>
        </w:tabs>
        <w:spacing w:line="276" w:lineRule="auto"/>
        <w:rPr>
          <w:rFonts w:cs="Arial"/>
          <w:color w:val="2E74B5" w:themeColor="accent1" w:themeShade="BF"/>
          <w:sz w:val="24"/>
          <w:szCs w:val="24"/>
        </w:rPr>
      </w:pPr>
      <w:r w:rsidRPr="0008101C">
        <w:rPr>
          <w:rFonts w:cs="Arial"/>
          <w:color w:val="2E74B5" w:themeColor="accent1" w:themeShade="BF"/>
          <w:sz w:val="24"/>
          <w:szCs w:val="24"/>
        </w:rPr>
        <w:t>Finalmente, es importante destacar, que también el estudio realizado en el presente recurso de revisión es respecto a la naturaleza de la información a la que el hoy r</w:t>
      </w:r>
      <w:r w:rsidR="00C8075C" w:rsidRPr="0008101C">
        <w:rPr>
          <w:rFonts w:cs="Arial"/>
          <w:color w:val="2E74B5" w:themeColor="accent1" w:themeShade="BF"/>
          <w:sz w:val="24"/>
          <w:szCs w:val="24"/>
        </w:rPr>
        <w:t>ecurrente solicitó tener acceso</w:t>
      </w:r>
      <w:r w:rsidRPr="0008101C">
        <w:rPr>
          <w:rFonts w:cs="Arial"/>
          <w:color w:val="2E74B5" w:themeColor="accent1" w:themeShade="BF"/>
          <w:sz w:val="24"/>
          <w:szCs w:val="24"/>
        </w:rPr>
        <w:t>.</w:t>
      </w:r>
    </w:p>
    <w:p w:rsidR="007E6F00" w:rsidRPr="0008101C" w:rsidRDefault="007E6F00" w:rsidP="0090693E">
      <w:pPr>
        <w:pStyle w:val="corte4fondo"/>
        <w:tabs>
          <w:tab w:val="left" w:pos="567"/>
        </w:tabs>
        <w:spacing w:line="276" w:lineRule="auto"/>
        <w:ind w:firstLine="0"/>
        <w:rPr>
          <w:rFonts w:cs="Arial"/>
          <w:color w:val="2E74B5" w:themeColor="accent1" w:themeShade="BF"/>
          <w:sz w:val="24"/>
          <w:szCs w:val="24"/>
        </w:rPr>
      </w:pPr>
    </w:p>
    <w:p w:rsidR="00450214" w:rsidRPr="0008101C" w:rsidRDefault="0045690D" w:rsidP="0090693E">
      <w:pPr>
        <w:pStyle w:val="corte4fondo"/>
        <w:spacing w:line="276" w:lineRule="auto"/>
        <w:ind w:firstLine="0"/>
        <w:rPr>
          <w:rFonts w:cs="Arial"/>
          <w:color w:val="2E74B5" w:themeColor="accent1" w:themeShade="BF"/>
          <w:sz w:val="24"/>
          <w:szCs w:val="24"/>
        </w:rPr>
      </w:pPr>
      <w:r w:rsidRPr="0008101C">
        <w:rPr>
          <w:rFonts w:cs="Arial"/>
          <w:b/>
          <w:color w:val="2E74B5" w:themeColor="accent1" w:themeShade="BF"/>
          <w:sz w:val="24"/>
          <w:szCs w:val="24"/>
        </w:rPr>
        <w:tab/>
        <w:t>6.3</w:t>
      </w:r>
      <w:r w:rsidR="00450214" w:rsidRPr="0008101C">
        <w:rPr>
          <w:rFonts w:cs="Arial"/>
          <w:b/>
          <w:color w:val="2E74B5" w:themeColor="accent1" w:themeShade="BF"/>
          <w:sz w:val="24"/>
          <w:szCs w:val="24"/>
        </w:rPr>
        <w:t>. Modalidad de entrega</w:t>
      </w:r>
      <w:r w:rsidR="00450214" w:rsidRPr="0008101C">
        <w:rPr>
          <w:rFonts w:cs="Arial"/>
          <w:color w:val="2E74B5" w:themeColor="accent1" w:themeShade="BF"/>
          <w:sz w:val="24"/>
          <w:szCs w:val="24"/>
        </w:rPr>
        <w:t>.</w:t>
      </w:r>
    </w:p>
    <w:p w:rsidR="00450214" w:rsidRPr="0008101C" w:rsidRDefault="00450214" w:rsidP="0090693E">
      <w:pPr>
        <w:pStyle w:val="corte4fondo"/>
        <w:spacing w:line="276" w:lineRule="auto"/>
        <w:ind w:firstLine="0"/>
        <w:rPr>
          <w:rFonts w:cs="Arial"/>
          <w:color w:val="2E74B5" w:themeColor="accent1" w:themeShade="BF"/>
          <w:sz w:val="24"/>
          <w:szCs w:val="24"/>
        </w:rPr>
      </w:pPr>
    </w:p>
    <w:p w:rsidR="00450214" w:rsidRPr="0008101C" w:rsidRDefault="00450214" w:rsidP="0090693E">
      <w:pPr>
        <w:pStyle w:val="corte4fondo"/>
        <w:tabs>
          <w:tab w:val="left" w:pos="567"/>
        </w:tabs>
        <w:spacing w:line="276" w:lineRule="auto"/>
        <w:rPr>
          <w:rFonts w:cs="Arial"/>
          <w:color w:val="2E74B5" w:themeColor="accent1" w:themeShade="BF"/>
          <w:sz w:val="24"/>
          <w:szCs w:val="24"/>
        </w:rPr>
      </w:pPr>
      <w:r w:rsidRPr="0008101C">
        <w:rPr>
          <w:rFonts w:cs="Arial"/>
          <w:color w:val="2E74B5" w:themeColor="accent1" w:themeShade="BF"/>
          <w:sz w:val="24"/>
          <w:szCs w:val="24"/>
        </w:rPr>
        <w:t>Ahora, los artículos 17, 146, fracción V, primer párrafo y 155, de la Ley de Transparencia establecen que:</w:t>
      </w:r>
    </w:p>
    <w:p w:rsidR="00450214" w:rsidRPr="0008101C"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08101C" w:rsidP="0090693E">
      <w:pPr>
        <w:pStyle w:val="corte4fondo"/>
        <w:tabs>
          <w:tab w:val="left" w:pos="567"/>
        </w:tabs>
        <w:spacing w:line="276" w:lineRule="auto"/>
        <w:ind w:left="567" w:firstLine="0"/>
        <w:rPr>
          <w:rFonts w:cs="Arial"/>
          <w:color w:val="2E74B5" w:themeColor="accent1" w:themeShade="BF"/>
          <w:sz w:val="24"/>
          <w:szCs w:val="24"/>
        </w:rPr>
      </w:pPr>
      <w:r>
        <w:rPr>
          <w:rFonts w:cs="Arial"/>
          <w:b/>
          <w:bCs/>
          <w:color w:val="2E74B5" w:themeColor="accent1" w:themeShade="BF"/>
          <w:sz w:val="20"/>
        </w:rPr>
        <w:t>“…</w:t>
      </w:r>
      <w:r w:rsidR="00450214" w:rsidRPr="0090693E">
        <w:rPr>
          <w:rFonts w:cs="Arial"/>
          <w:b/>
          <w:bCs/>
          <w:color w:val="2E74B5" w:themeColor="accent1" w:themeShade="BF"/>
          <w:sz w:val="20"/>
        </w:rPr>
        <w:t xml:space="preserve">ARTÍCULO 17. </w:t>
      </w:r>
      <w:r w:rsidR="00450214" w:rsidRPr="0090693E">
        <w:rPr>
          <w:rFonts w:cs="Arial"/>
          <w:color w:val="2E74B5" w:themeColor="accent1" w:themeShade="BF"/>
          <w:sz w:val="20"/>
        </w:rPr>
        <w:t xml:space="preserve">El ejercicio del derecho de acceso a la información es gratuito y sólo podrá requerirse el cobro correspondiente a la modalidad de reproducción y entrega solicitada. </w:t>
      </w:r>
    </w:p>
    <w:p w:rsidR="00450214" w:rsidRPr="0090693E" w:rsidRDefault="00450214" w:rsidP="0090693E">
      <w:pPr>
        <w:pStyle w:val="corte4fondo"/>
        <w:tabs>
          <w:tab w:val="left" w:pos="567"/>
        </w:tabs>
        <w:spacing w:line="276" w:lineRule="auto"/>
        <w:ind w:left="567" w:firstLine="0"/>
        <w:rPr>
          <w:rFonts w:cs="Arial"/>
          <w:color w:val="2E74B5" w:themeColor="accent1" w:themeShade="BF"/>
          <w:sz w:val="20"/>
        </w:rPr>
      </w:pPr>
      <w:r w:rsidRPr="0090693E">
        <w:rPr>
          <w:rFonts w:cs="Arial"/>
          <w:color w:val="2E74B5" w:themeColor="accent1" w:themeShade="BF"/>
          <w:sz w:val="20"/>
        </w:rPr>
        <w:t>En ningún caso los ajustes razonables que se realicen para el acceso de la información de solicitantes con discapacidad, será con costo a los mismos</w:t>
      </w:r>
      <w:r w:rsidR="0008101C">
        <w:rPr>
          <w:rFonts w:cs="Arial"/>
          <w:color w:val="2E74B5" w:themeColor="accent1" w:themeShade="BF"/>
          <w:sz w:val="20"/>
        </w:rPr>
        <w:t>…”</w:t>
      </w:r>
    </w:p>
    <w:p w:rsidR="00450214" w:rsidRPr="0090693E" w:rsidRDefault="00450214" w:rsidP="0090693E">
      <w:pPr>
        <w:pStyle w:val="corte4fondo"/>
        <w:tabs>
          <w:tab w:val="left" w:pos="567"/>
        </w:tabs>
        <w:spacing w:line="276" w:lineRule="auto"/>
        <w:ind w:left="567" w:firstLine="0"/>
        <w:rPr>
          <w:rFonts w:cs="Arial"/>
          <w:color w:val="2E74B5" w:themeColor="accent1" w:themeShade="BF"/>
          <w:sz w:val="20"/>
        </w:rPr>
      </w:pPr>
    </w:p>
    <w:p w:rsidR="00450214" w:rsidRPr="0090693E" w:rsidRDefault="0008101C" w:rsidP="0090693E">
      <w:pPr>
        <w:pStyle w:val="corte4fondo"/>
        <w:tabs>
          <w:tab w:val="left" w:pos="567"/>
        </w:tabs>
        <w:spacing w:line="276" w:lineRule="auto"/>
        <w:ind w:left="567" w:firstLine="0"/>
        <w:rPr>
          <w:rFonts w:cs="Arial"/>
          <w:color w:val="2E74B5" w:themeColor="accent1" w:themeShade="BF"/>
          <w:sz w:val="20"/>
        </w:rPr>
      </w:pPr>
      <w:r w:rsidRPr="0008101C">
        <w:rPr>
          <w:rFonts w:cs="Arial"/>
          <w:bCs/>
          <w:color w:val="2E74B5" w:themeColor="accent1" w:themeShade="BF"/>
          <w:sz w:val="20"/>
        </w:rPr>
        <w:t>“…</w:t>
      </w:r>
      <w:r w:rsidR="00450214" w:rsidRPr="0090693E">
        <w:rPr>
          <w:rFonts w:cs="Arial"/>
          <w:b/>
          <w:bCs/>
          <w:color w:val="2E74B5" w:themeColor="accent1" w:themeShade="BF"/>
          <w:sz w:val="20"/>
        </w:rPr>
        <w:t xml:space="preserve">ARTÍCULO 146. </w:t>
      </w:r>
      <w:r w:rsidR="00450214" w:rsidRPr="0090693E">
        <w:rPr>
          <w:rFonts w:cs="Arial"/>
          <w:color w:val="2E74B5" w:themeColor="accent1" w:themeShade="BF"/>
          <w:sz w:val="20"/>
        </w:rPr>
        <w:t xml:space="preserve">Para presentar una solicitud no se podrán exigir mayores requisitos que los siguientes: </w:t>
      </w:r>
    </w:p>
    <w:p w:rsidR="00450214" w:rsidRPr="0090693E" w:rsidRDefault="00450214" w:rsidP="0090693E">
      <w:pPr>
        <w:pStyle w:val="corte4fondo"/>
        <w:tabs>
          <w:tab w:val="left" w:pos="567"/>
        </w:tabs>
        <w:spacing w:line="276" w:lineRule="auto"/>
        <w:ind w:left="567" w:firstLine="0"/>
        <w:rPr>
          <w:rFonts w:cs="Arial"/>
          <w:color w:val="2E74B5" w:themeColor="accent1" w:themeShade="BF"/>
          <w:sz w:val="20"/>
        </w:rPr>
      </w:pPr>
      <w:r w:rsidRPr="0090693E">
        <w:rPr>
          <w:rFonts w:cs="Arial"/>
          <w:bCs/>
          <w:color w:val="2E74B5" w:themeColor="accent1" w:themeShade="BF"/>
          <w:sz w:val="20"/>
        </w:rPr>
        <w:t>[…]</w:t>
      </w:r>
    </w:p>
    <w:p w:rsidR="00450214" w:rsidRPr="0090693E" w:rsidRDefault="00450214" w:rsidP="0090693E">
      <w:pPr>
        <w:pStyle w:val="corte4fondo"/>
        <w:tabs>
          <w:tab w:val="left" w:pos="567"/>
        </w:tabs>
        <w:spacing w:line="276" w:lineRule="auto"/>
        <w:ind w:left="567" w:firstLine="0"/>
        <w:rPr>
          <w:rFonts w:cs="Arial"/>
          <w:color w:val="2E74B5" w:themeColor="accent1" w:themeShade="BF"/>
          <w:sz w:val="20"/>
        </w:rPr>
      </w:pPr>
      <w:r w:rsidRPr="0090693E">
        <w:rPr>
          <w:rFonts w:cs="Arial"/>
          <w:b/>
          <w:bCs/>
          <w:color w:val="2E74B5" w:themeColor="accent1" w:themeShade="BF"/>
          <w:sz w:val="20"/>
        </w:rPr>
        <w:t xml:space="preserve">V. </w:t>
      </w:r>
      <w:r w:rsidRPr="0090693E">
        <w:rPr>
          <w:rFonts w:cs="Arial"/>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sidR="0008101C">
        <w:rPr>
          <w:rFonts w:cs="Arial"/>
          <w:color w:val="2E74B5" w:themeColor="accent1" w:themeShade="BF"/>
          <w:sz w:val="20"/>
        </w:rPr>
        <w:t>”</w:t>
      </w:r>
    </w:p>
    <w:p w:rsidR="00450214" w:rsidRPr="0090693E" w:rsidRDefault="00450214" w:rsidP="0090693E">
      <w:pPr>
        <w:pStyle w:val="corte4fondo"/>
        <w:tabs>
          <w:tab w:val="left" w:pos="567"/>
        </w:tabs>
        <w:spacing w:line="276" w:lineRule="auto"/>
        <w:ind w:left="567" w:firstLine="0"/>
        <w:rPr>
          <w:rFonts w:cs="Arial"/>
          <w:color w:val="2E74B5" w:themeColor="accent1" w:themeShade="BF"/>
          <w:sz w:val="20"/>
        </w:rPr>
      </w:pPr>
    </w:p>
    <w:p w:rsidR="00450214" w:rsidRPr="0008101C" w:rsidRDefault="00450214" w:rsidP="0090693E">
      <w:pPr>
        <w:pStyle w:val="corte4fondo"/>
        <w:spacing w:line="276" w:lineRule="auto"/>
        <w:rPr>
          <w:rFonts w:cs="Arial"/>
          <w:color w:val="2E74B5" w:themeColor="accent1" w:themeShade="BF"/>
          <w:sz w:val="24"/>
          <w:szCs w:val="24"/>
        </w:rPr>
      </w:pPr>
      <w:r w:rsidRPr="0008101C">
        <w:rPr>
          <w:rFonts w:cs="Arial"/>
          <w:color w:val="2E74B5" w:themeColor="accent1" w:themeShade="BF"/>
          <w:sz w:val="24"/>
          <w:szCs w:val="24"/>
        </w:rPr>
        <w:t xml:space="preserve">Así, el acceso se dará en la modalidad de entrega elegido por el solicitante –y que cuando la información no pueda entregarse o enviarse en la modalidad elegida, el sujeto obligado deberá ofrecer otra u otras modalidades de entrega– y </w:t>
      </w:r>
      <w:r w:rsidR="00E911CF" w:rsidRPr="0008101C">
        <w:rPr>
          <w:rFonts w:cs="Arial"/>
          <w:color w:val="2E74B5" w:themeColor="accent1" w:themeShade="BF"/>
          <w:sz w:val="24"/>
          <w:szCs w:val="24"/>
        </w:rPr>
        <w:t>que,</w:t>
      </w:r>
      <w:r w:rsidR="00BD6511" w:rsidRPr="0008101C">
        <w:rPr>
          <w:rFonts w:cs="Arial"/>
          <w:color w:val="2E74B5" w:themeColor="accent1" w:themeShade="BF"/>
          <w:sz w:val="24"/>
          <w:szCs w:val="24"/>
        </w:rPr>
        <w:t xml:space="preserve"> en</w:t>
      </w:r>
      <w:r w:rsidRPr="0008101C">
        <w:rPr>
          <w:rFonts w:cs="Arial"/>
          <w:color w:val="2E74B5" w:themeColor="accent1" w:themeShade="BF"/>
          <w:sz w:val="24"/>
          <w:szCs w:val="24"/>
        </w:rPr>
        <w:t xml:space="preserve"> cualquier caso, </w:t>
      </w:r>
      <w:r w:rsidRPr="0008101C">
        <w:rPr>
          <w:rFonts w:cs="Arial"/>
          <w:color w:val="2E74B5" w:themeColor="accent1" w:themeShade="BF"/>
          <w:sz w:val="24"/>
          <w:szCs w:val="24"/>
          <w:u w:val="single"/>
        </w:rPr>
        <w:t>se deberá fundar y motivar la necesidad de ofrecer otras modalidades</w:t>
      </w:r>
      <w:r w:rsidRPr="0008101C">
        <w:rPr>
          <w:rFonts w:cs="Arial"/>
          <w:color w:val="2E74B5" w:themeColor="accent1" w:themeShade="BF"/>
          <w:sz w:val="24"/>
          <w:szCs w:val="24"/>
        </w:rPr>
        <w:t>.</w:t>
      </w:r>
    </w:p>
    <w:p w:rsidR="00450214" w:rsidRPr="0008101C" w:rsidRDefault="00450214" w:rsidP="0090693E">
      <w:pPr>
        <w:pStyle w:val="corte4fondo"/>
        <w:spacing w:line="276" w:lineRule="auto"/>
        <w:rPr>
          <w:rFonts w:cs="Arial"/>
          <w:color w:val="2E74B5" w:themeColor="accent1" w:themeShade="BF"/>
          <w:sz w:val="24"/>
          <w:szCs w:val="24"/>
        </w:rPr>
      </w:pPr>
    </w:p>
    <w:p w:rsidR="00450214" w:rsidRPr="0008101C" w:rsidRDefault="00450214" w:rsidP="0090693E">
      <w:pPr>
        <w:pStyle w:val="corte4fondo"/>
        <w:spacing w:line="276" w:lineRule="auto"/>
        <w:rPr>
          <w:rFonts w:cs="Arial"/>
          <w:color w:val="2E74B5" w:themeColor="accent1" w:themeShade="BF"/>
          <w:sz w:val="24"/>
          <w:szCs w:val="24"/>
        </w:rPr>
      </w:pPr>
      <w:r w:rsidRPr="0008101C">
        <w:rPr>
          <w:rFonts w:cs="Arial"/>
          <w:color w:val="2E74B5" w:themeColor="accent1" w:themeShade="BF"/>
          <w:sz w:val="24"/>
          <w:szCs w:val="24"/>
        </w:rPr>
        <w:t xml:space="preserve">Que, por lo tanto, el ejercicio del derecho de acceso a la información es gratuito y </w:t>
      </w:r>
      <w:r w:rsidRPr="0008101C">
        <w:rPr>
          <w:rFonts w:cs="Arial"/>
          <w:color w:val="2E74B5" w:themeColor="accent1" w:themeShade="BF"/>
          <w:sz w:val="24"/>
          <w:szCs w:val="24"/>
          <w:u w:val="single"/>
        </w:rPr>
        <w:t>sólo podrá requerirse el cobro correspondiente a la modalidad de reproducción y entrega solicitada</w:t>
      </w:r>
      <w:r w:rsidRPr="0008101C">
        <w:rPr>
          <w:rFonts w:cs="Arial"/>
          <w:color w:val="2E74B5" w:themeColor="accent1" w:themeShade="BF"/>
          <w:sz w:val="24"/>
          <w:szCs w:val="24"/>
        </w:rPr>
        <w:t>.</w:t>
      </w:r>
    </w:p>
    <w:p w:rsidR="00450214" w:rsidRPr="0008101C" w:rsidRDefault="00450214" w:rsidP="0090693E">
      <w:pPr>
        <w:pStyle w:val="corte4fondo"/>
        <w:spacing w:line="276" w:lineRule="auto"/>
        <w:rPr>
          <w:rFonts w:cs="Arial"/>
          <w:color w:val="2E74B5" w:themeColor="accent1" w:themeShade="BF"/>
          <w:sz w:val="24"/>
          <w:szCs w:val="24"/>
        </w:rPr>
      </w:pPr>
    </w:p>
    <w:p w:rsidR="00450214" w:rsidRPr="0008101C" w:rsidRDefault="00450214" w:rsidP="0090693E">
      <w:pPr>
        <w:pStyle w:val="corte4fondo"/>
        <w:spacing w:line="276" w:lineRule="auto"/>
        <w:rPr>
          <w:rFonts w:cs="Arial"/>
          <w:color w:val="2E74B5" w:themeColor="accent1" w:themeShade="BF"/>
          <w:sz w:val="24"/>
          <w:szCs w:val="24"/>
        </w:rPr>
      </w:pPr>
      <w:r w:rsidRPr="0008101C">
        <w:rPr>
          <w:rFonts w:cs="Arial"/>
          <w:color w:val="2E74B5" w:themeColor="accent1" w:themeShade="BF"/>
          <w:sz w:val="24"/>
          <w:szCs w:val="24"/>
        </w:rPr>
        <w:t xml:space="preserve">De ahí que para presentar una solicitud no se podrán exigir mayores requisitos, entre lo que se encuentra el de la modalidad en la que prefiere se otorgue el acceso a la información, por ello, </w:t>
      </w:r>
      <w:r w:rsidRPr="0008101C">
        <w:rPr>
          <w:rFonts w:cs="Arial"/>
          <w:color w:val="2E74B5" w:themeColor="accent1" w:themeShade="BF"/>
          <w:sz w:val="24"/>
          <w:szCs w:val="24"/>
          <w:u w:val="single"/>
        </w:rPr>
        <w:t xml:space="preserve">la regla es que el acceso se dará en la modalidad de solicitada </w:t>
      </w:r>
      <w:r w:rsidRPr="0008101C">
        <w:rPr>
          <w:rFonts w:cs="Arial"/>
          <w:color w:val="2E74B5" w:themeColor="accent1" w:themeShade="BF"/>
          <w:sz w:val="24"/>
          <w:szCs w:val="24"/>
        </w:rPr>
        <w:t xml:space="preserve">y, en su caso, de envío elegidos por el solicitante y, </w:t>
      </w:r>
      <w:r w:rsidRPr="0008101C">
        <w:rPr>
          <w:rFonts w:cs="Arial"/>
          <w:color w:val="2E74B5" w:themeColor="accent1" w:themeShade="BF"/>
          <w:sz w:val="24"/>
          <w:szCs w:val="24"/>
          <w:u w:val="single"/>
        </w:rPr>
        <w:t>la excepción es cuando la información no pueda entregarse o enviarse en la modalidad elegida</w:t>
      </w:r>
      <w:r w:rsidRPr="0008101C">
        <w:rPr>
          <w:rFonts w:cs="Arial"/>
          <w:color w:val="2E74B5" w:themeColor="accent1" w:themeShade="BF"/>
          <w:sz w:val="24"/>
          <w:szCs w:val="24"/>
        </w:rPr>
        <w:t xml:space="preserve">, por lo que el sujeto obligado deberá ofrecer otra u otras modalidades de entrega. </w:t>
      </w:r>
      <w:r w:rsidRPr="0008101C">
        <w:rPr>
          <w:rFonts w:cs="Arial"/>
          <w:b/>
          <w:color w:val="2E74B5" w:themeColor="accent1" w:themeShade="BF"/>
          <w:sz w:val="24"/>
          <w:szCs w:val="24"/>
        </w:rPr>
        <w:t>En cualquier caso, se deberá fundar y motivar la necesidad de ofrecer otras modalidades</w:t>
      </w:r>
      <w:r w:rsidRPr="0008101C">
        <w:rPr>
          <w:rFonts w:cs="Arial"/>
          <w:color w:val="2E74B5" w:themeColor="accent1" w:themeShade="BF"/>
          <w:sz w:val="24"/>
          <w:szCs w:val="24"/>
        </w:rPr>
        <w:t>.</w:t>
      </w:r>
    </w:p>
    <w:p w:rsidR="00450214" w:rsidRPr="0008101C" w:rsidRDefault="00450214" w:rsidP="0090693E">
      <w:pPr>
        <w:pStyle w:val="corte4fondo"/>
        <w:spacing w:line="276" w:lineRule="auto"/>
        <w:rPr>
          <w:rFonts w:cs="Arial"/>
          <w:color w:val="2E74B5" w:themeColor="accent1" w:themeShade="BF"/>
          <w:sz w:val="24"/>
          <w:szCs w:val="24"/>
        </w:rPr>
      </w:pPr>
    </w:p>
    <w:p w:rsidR="00450214" w:rsidRPr="0008101C" w:rsidRDefault="00450214" w:rsidP="0090693E">
      <w:pPr>
        <w:pStyle w:val="corte4fondo"/>
        <w:spacing w:line="276" w:lineRule="auto"/>
        <w:rPr>
          <w:rFonts w:cs="Arial"/>
          <w:color w:val="2E74B5" w:themeColor="accent1" w:themeShade="BF"/>
          <w:sz w:val="24"/>
          <w:szCs w:val="24"/>
        </w:rPr>
      </w:pPr>
      <w:r w:rsidRPr="0008101C">
        <w:rPr>
          <w:rFonts w:cs="Arial"/>
          <w:color w:val="2E74B5" w:themeColor="accent1" w:themeShade="BF"/>
          <w:sz w:val="24"/>
          <w:szCs w:val="24"/>
        </w:rPr>
        <w:lastRenderedPageBreak/>
        <w:t>En el caso, la solicitud de información fue realizada por el solicitante a través de la Plataforma Nacional de Transparencia y aunque, si bien es cierto es que el recurrente no expresó la modalidad de entrega de la información, sin embargo, tal omisión no implica la discrecionalidad del sujeto obligado para que entregue la información peticionada en la modalidad que prefiera, puesto que si el solicitante presentó la solicitud de información por medios electrónicos, entonces, se está en el supuesto de que la autoridad debe entregar la información peticionada por ese mismo medio.</w:t>
      </w:r>
    </w:p>
    <w:p w:rsidR="00450214" w:rsidRPr="0008101C" w:rsidRDefault="00450214" w:rsidP="0090693E">
      <w:pPr>
        <w:pStyle w:val="corte4fondo"/>
        <w:spacing w:line="276" w:lineRule="auto"/>
        <w:rPr>
          <w:rFonts w:cs="Arial"/>
          <w:color w:val="2E74B5" w:themeColor="accent1" w:themeShade="BF"/>
          <w:sz w:val="24"/>
          <w:szCs w:val="24"/>
        </w:rPr>
      </w:pPr>
    </w:p>
    <w:p w:rsidR="00450214" w:rsidRPr="0008101C" w:rsidRDefault="00450214" w:rsidP="0090693E">
      <w:pPr>
        <w:pStyle w:val="corte4fondo"/>
        <w:spacing w:line="276" w:lineRule="auto"/>
        <w:rPr>
          <w:rFonts w:cs="Arial"/>
          <w:color w:val="2E74B5" w:themeColor="accent1" w:themeShade="BF"/>
          <w:sz w:val="24"/>
          <w:szCs w:val="24"/>
        </w:rPr>
      </w:pPr>
      <w:r w:rsidRPr="0008101C">
        <w:rPr>
          <w:rFonts w:cs="Arial"/>
          <w:color w:val="2E74B5" w:themeColor="accent1" w:themeShade="BF"/>
          <w:sz w:val="24"/>
          <w:szCs w:val="24"/>
        </w:rPr>
        <w:t>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450214" w:rsidRPr="0008101C" w:rsidRDefault="00450214" w:rsidP="0090693E">
      <w:pPr>
        <w:spacing w:after="0"/>
        <w:jc w:val="both"/>
        <w:rPr>
          <w:rFonts w:ascii="Arial" w:eastAsia="Times New Roman" w:hAnsi="Arial" w:cs="Arial"/>
          <w:color w:val="2E74B5" w:themeColor="accent1" w:themeShade="BF"/>
          <w:sz w:val="24"/>
          <w:szCs w:val="24"/>
        </w:rPr>
      </w:pPr>
    </w:p>
    <w:p w:rsidR="00450214" w:rsidRPr="0090693E" w:rsidRDefault="00450214" w:rsidP="0090693E">
      <w:pPr>
        <w:autoSpaceDE w:val="0"/>
        <w:autoSpaceDN w:val="0"/>
        <w:adjustRightInd w:val="0"/>
        <w:spacing w:after="0"/>
        <w:ind w:left="708"/>
        <w:jc w:val="both"/>
        <w:rPr>
          <w:rFonts w:ascii="Arial" w:eastAsia="Times New Roman" w:hAnsi="Arial" w:cs="Arial"/>
          <w:color w:val="2E74B5" w:themeColor="accent1" w:themeShade="BF"/>
          <w:sz w:val="20"/>
          <w:szCs w:val="20"/>
          <w:lang w:eastAsia="es-MX"/>
        </w:rPr>
      </w:pPr>
      <w:r w:rsidRPr="0090693E">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90693E">
        <w:rPr>
          <w:rFonts w:ascii="Arial" w:eastAsia="Times New Roman" w:hAnsi="Arial" w:cs="Arial"/>
          <w:color w:val="2E74B5" w:themeColor="accent1" w:themeShade="BF"/>
          <w:sz w:val="20"/>
          <w:szCs w:val="20"/>
          <w:lang w:eastAsia="es-MX"/>
        </w:rPr>
        <w:t>El ejercicio del derecho</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de acceso a la información gubernamental no se entiende</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de forma abstracta y desvinculada a la forma en que los</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gobernados pueden allegarse de aquélla; destacándose que</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la modalidad de entrega de la información resulta de especial</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interés para hacer efectivo este derecho. En este sentido,</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la Comisión para la Transparencia y Acceso a la Información</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de la Suprema Corte de Justicia de la Nación (recurso de</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revisión 1/2005) determinó que el acceso a la información</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cuando esta fue la remisión por medios electrónicos,</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toda vez que el otorgamiento en una diversa puede constituir</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un obstáculo material para el ejercicio del derecho</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de acceso a la información tutelado en el artículo 6° constitucional.</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Por lo tanto, si el peticionario solicita por vía</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electrónica determinada información sin precisar la modalidad</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de su preferencia debe presumirse que la requiere</w:t>
      </w:r>
      <w:r w:rsidRPr="0090693E">
        <w:rPr>
          <w:rFonts w:ascii="Arial" w:eastAsia="Times New Roman" w:hAnsi="Arial" w:cs="Arial"/>
          <w:b/>
          <w:bCs/>
          <w:color w:val="2E74B5" w:themeColor="accent1" w:themeShade="BF"/>
          <w:sz w:val="20"/>
          <w:szCs w:val="20"/>
          <w:lang w:eastAsia="es-MX"/>
        </w:rPr>
        <w:t xml:space="preserve"> </w:t>
      </w:r>
      <w:r w:rsidRPr="0090693E">
        <w:rPr>
          <w:rFonts w:ascii="Arial" w:eastAsia="Times New Roman" w:hAnsi="Arial" w:cs="Arial"/>
          <w:color w:val="2E74B5" w:themeColor="accent1" w:themeShade="BF"/>
          <w:sz w:val="20"/>
          <w:szCs w:val="20"/>
          <w:lang w:eastAsia="es-MX"/>
        </w:rPr>
        <w:t>por esa misma vía.</w:t>
      </w:r>
    </w:p>
    <w:p w:rsidR="00450214" w:rsidRPr="0090693E" w:rsidRDefault="00450214" w:rsidP="0090693E">
      <w:pPr>
        <w:autoSpaceDE w:val="0"/>
        <w:autoSpaceDN w:val="0"/>
        <w:adjustRightInd w:val="0"/>
        <w:spacing w:after="0"/>
        <w:jc w:val="both"/>
        <w:rPr>
          <w:rFonts w:ascii="Arial" w:eastAsia="Times New Roman" w:hAnsi="Arial" w:cs="Arial"/>
          <w:bCs/>
          <w:color w:val="2E74B5" w:themeColor="accent1" w:themeShade="BF"/>
          <w:sz w:val="24"/>
          <w:szCs w:val="24"/>
          <w:lang w:eastAsia="es-MX"/>
        </w:rPr>
      </w:pPr>
    </w:p>
    <w:p w:rsidR="00450214" w:rsidRPr="0008101C" w:rsidRDefault="00450214" w:rsidP="0090693E">
      <w:pPr>
        <w:autoSpaceDE w:val="0"/>
        <w:autoSpaceDN w:val="0"/>
        <w:adjustRightInd w:val="0"/>
        <w:spacing w:after="0"/>
        <w:ind w:firstLine="709"/>
        <w:jc w:val="both"/>
        <w:rPr>
          <w:rFonts w:ascii="Arial" w:eastAsia="Times New Roman" w:hAnsi="Arial" w:cs="Arial"/>
          <w:bCs/>
          <w:color w:val="2E74B5" w:themeColor="accent1" w:themeShade="BF"/>
          <w:sz w:val="24"/>
          <w:szCs w:val="24"/>
          <w:lang w:eastAsia="es-MX"/>
        </w:rPr>
      </w:pPr>
      <w:r w:rsidRPr="0008101C">
        <w:rPr>
          <w:rFonts w:ascii="Arial" w:eastAsia="Times New Roman" w:hAnsi="Arial" w:cs="Arial"/>
          <w:bCs/>
          <w:color w:val="2E74B5" w:themeColor="accent1" w:themeShade="BF"/>
          <w:sz w:val="24"/>
          <w:szCs w:val="24"/>
          <w:lang w:eastAsia="es-MX"/>
        </w:rPr>
        <w:t>Criterio que de conformidad con el artículo 7°</w:t>
      </w:r>
      <w:r w:rsidRPr="0008101C">
        <w:rPr>
          <w:rFonts w:ascii="Arial" w:eastAsia="Times New Roman" w:hAnsi="Arial" w:cs="Arial"/>
          <w:bCs/>
          <w:color w:val="2E74B5" w:themeColor="accent1" w:themeShade="BF"/>
          <w:sz w:val="24"/>
          <w:szCs w:val="24"/>
          <w:vertAlign w:val="superscript"/>
          <w:lang w:eastAsia="es-MX"/>
        </w:rPr>
        <w:footnoteReference w:id="12"/>
      </w:r>
      <w:r w:rsidRPr="0008101C">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450214" w:rsidRPr="0008101C" w:rsidRDefault="00450214" w:rsidP="0090693E">
      <w:pPr>
        <w:pStyle w:val="corte4fondo"/>
        <w:tabs>
          <w:tab w:val="left" w:pos="567"/>
        </w:tabs>
        <w:spacing w:line="276" w:lineRule="auto"/>
        <w:rPr>
          <w:rFonts w:cs="Arial"/>
          <w:color w:val="2E74B5" w:themeColor="accent1" w:themeShade="BF"/>
          <w:sz w:val="24"/>
          <w:szCs w:val="24"/>
        </w:rPr>
      </w:pPr>
    </w:p>
    <w:p w:rsidR="00450214" w:rsidRPr="0008101C" w:rsidRDefault="00450214" w:rsidP="0090693E">
      <w:pPr>
        <w:pStyle w:val="corte4fondo"/>
        <w:tabs>
          <w:tab w:val="left" w:pos="567"/>
        </w:tabs>
        <w:spacing w:line="276" w:lineRule="auto"/>
        <w:rPr>
          <w:rFonts w:cs="Arial"/>
          <w:color w:val="2E74B5" w:themeColor="accent1" w:themeShade="BF"/>
          <w:sz w:val="24"/>
          <w:szCs w:val="24"/>
        </w:rPr>
      </w:pPr>
      <w:r w:rsidRPr="0008101C">
        <w:rPr>
          <w:rFonts w:cs="Arial"/>
          <w:color w:val="2E74B5" w:themeColor="accent1" w:themeShade="BF"/>
          <w:sz w:val="24"/>
          <w:szCs w:val="24"/>
        </w:rPr>
        <w:t>Sentado lo anterior, la entrega de la información deberá de hacerse por el medio designado por el recurrente y, sólo en caso de que ente obligado no ofrezca esa modalidad entonces deberá de fundar y motivar su respuesta del porqué no la tiene en esa modalidad, así como de ofrecer todos aquéllos para que el recurrente pueda allegarse de la información.</w:t>
      </w:r>
    </w:p>
    <w:p w:rsidR="00450214" w:rsidRPr="0008101C"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lastRenderedPageBreak/>
        <w:t>En el entendido de que, si el sujeto obligado no tiene la información en la modalidad electrónica debe atender los artículos 22, 62 y 165</w:t>
      </w:r>
      <w:r w:rsidRPr="0090693E">
        <w:rPr>
          <w:rStyle w:val="Refdenotaalpie"/>
          <w:rFonts w:cs="Arial"/>
          <w:color w:val="2E74B5" w:themeColor="accent1" w:themeShade="BF"/>
          <w:sz w:val="24"/>
          <w:szCs w:val="24"/>
        </w:rPr>
        <w:footnoteReference w:id="13"/>
      </w:r>
      <w:r w:rsidRPr="0090693E">
        <w:rPr>
          <w:rFonts w:cs="Arial"/>
          <w:color w:val="2E74B5" w:themeColor="accent1" w:themeShade="BF"/>
          <w:sz w:val="24"/>
          <w:szCs w:val="24"/>
        </w:rPr>
        <w:t xml:space="preserve">, esto es propiciar las condiciones necesarias para que el procedimiento de acceso y </w:t>
      </w:r>
      <w:r w:rsidR="004816B5" w:rsidRPr="0090693E">
        <w:rPr>
          <w:rFonts w:cs="Arial"/>
          <w:b/>
          <w:color w:val="2E74B5" w:themeColor="accent1" w:themeShade="BF"/>
          <w:sz w:val="24"/>
          <w:szCs w:val="24"/>
        </w:rPr>
        <w:t>la información deberá ser entregada sin costo</w:t>
      </w:r>
      <w:r w:rsidR="004816B5" w:rsidRPr="0090693E">
        <w:rPr>
          <w:rFonts w:cs="Arial"/>
          <w:color w:val="2E74B5" w:themeColor="accent1" w:themeShade="BF"/>
          <w:sz w:val="24"/>
          <w:szCs w:val="24"/>
        </w:rPr>
        <w:t xml:space="preserve">, </w:t>
      </w:r>
      <w:r w:rsidR="004816B5" w:rsidRPr="0090693E">
        <w:rPr>
          <w:rFonts w:cs="Arial"/>
          <w:b/>
          <w:color w:val="2E74B5" w:themeColor="accent1" w:themeShade="BF"/>
          <w:sz w:val="24"/>
          <w:szCs w:val="24"/>
        </w:rPr>
        <w:t>cuando implique la entrega de no más de veinte hojas simples</w:t>
      </w:r>
      <w:r w:rsidR="004816B5" w:rsidRPr="0090693E">
        <w:rPr>
          <w:rFonts w:cs="Arial"/>
          <w:color w:val="2E74B5" w:themeColor="accent1" w:themeShade="BF"/>
          <w:sz w:val="24"/>
          <w:szCs w:val="24"/>
        </w:rPr>
        <w:t xml:space="preserve">, </w:t>
      </w:r>
      <w:r w:rsidRPr="0090693E">
        <w:rPr>
          <w:rFonts w:cs="Arial"/>
          <w:color w:val="2E74B5" w:themeColor="accent1" w:themeShade="BF"/>
          <w:sz w:val="24"/>
          <w:szCs w:val="24"/>
        </w:rPr>
        <w:t>en atención al principio de máxima publicidad, ello en virtud de que sólo en caso de que no se le pueda permitir al solicitante la información en dichos medios electrónicos.</w:t>
      </w:r>
    </w:p>
    <w:p w:rsidR="00450214" w:rsidRPr="0090693E" w:rsidRDefault="00450214" w:rsidP="0090693E">
      <w:pPr>
        <w:pStyle w:val="corte4fondo"/>
        <w:tabs>
          <w:tab w:val="left" w:pos="567"/>
        </w:tabs>
        <w:spacing w:line="276" w:lineRule="auto"/>
        <w:ind w:firstLine="0"/>
        <w:rPr>
          <w:rFonts w:cs="Arial"/>
          <w:color w:val="2E74B5" w:themeColor="accent1" w:themeShade="BF"/>
          <w:sz w:val="24"/>
          <w:szCs w:val="24"/>
        </w:rPr>
      </w:pPr>
    </w:p>
    <w:p w:rsidR="00450214" w:rsidRPr="0090693E" w:rsidRDefault="00450214" w:rsidP="0090693E">
      <w:pPr>
        <w:pStyle w:val="corte4fondo"/>
        <w:tabs>
          <w:tab w:val="left" w:pos="567"/>
        </w:tabs>
        <w:spacing w:line="276" w:lineRule="auto"/>
        <w:ind w:firstLine="0"/>
        <w:rPr>
          <w:rFonts w:cs="Arial"/>
          <w:color w:val="2E74B5" w:themeColor="accent1" w:themeShade="BF"/>
          <w:sz w:val="24"/>
          <w:szCs w:val="24"/>
        </w:rPr>
      </w:pPr>
      <w:r w:rsidRPr="0090693E">
        <w:rPr>
          <w:rFonts w:cs="Arial"/>
          <w:color w:val="2E74B5" w:themeColor="accent1" w:themeShade="BF"/>
          <w:sz w:val="25"/>
          <w:szCs w:val="25"/>
        </w:rPr>
        <w:tab/>
      </w:r>
      <w:r w:rsidRPr="0090693E">
        <w:rPr>
          <w:rFonts w:cs="Arial"/>
          <w:color w:val="2E74B5" w:themeColor="accent1" w:themeShade="BF"/>
          <w:sz w:val="24"/>
          <w:szCs w:val="24"/>
        </w:rPr>
        <w:t xml:space="preserve">Además de que, si no cuenta con la información en medios electrónicos –aparte de la entrega de forma gratuita de </w:t>
      </w:r>
      <w:r w:rsidR="004816B5" w:rsidRPr="0090693E">
        <w:rPr>
          <w:rFonts w:cs="Arial"/>
          <w:color w:val="2E74B5" w:themeColor="accent1" w:themeShade="BF"/>
          <w:sz w:val="24"/>
          <w:szCs w:val="24"/>
        </w:rPr>
        <w:t xml:space="preserve">no más de </w:t>
      </w:r>
      <w:r w:rsidRPr="0090693E">
        <w:rPr>
          <w:rFonts w:cs="Arial"/>
          <w:color w:val="2E74B5" w:themeColor="accent1" w:themeShade="BF"/>
          <w:sz w:val="24"/>
          <w:szCs w:val="24"/>
        </w:rPr>
        <w:t>veinte hojas–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9054C9" w:rsidRPr="0090693E" w:rsidRDefault="009054C9" w:rsidP="0090693E">
      <w:pPr>
        <w:pStyle w:val="corte4fondo"/>
        <w:tabs>
          <w:tab w:val="left" w:pos="567"/>
        </w:tabs>
        <w:spacing w:line="276" w:lineRule="auto"/>
        <w:ind w:firstLine="0"/>
        <w:rPr>
          <w:rFonts w:cs="Arial"/>
          <w:color w:val="2E74B5" w:themeColor="accent1" w:themeShade="BF"/>
          <w:sz w:val="24"/>
          <w:szCs w:val="24"/>
        </w:rPr>
      </w:pPr>
    </w:p>
    <w:p w:rsidR="004B3896" w:rsidRPr="0090693E" w:rsidRDefault="00FD08FD" w:rsidP="0090693E">
      <w:pPr>
        <w:pStyle w:val="corte4fondo"/>
        <w:tabs>
          <w:tab w:val="left" w:pos="567"/>
        </w:tabs>
        <w:spacing w:line="276" w:lineRule="auto"/>
        <w:ind w:firstLine="0"/>
        <w:rPr>
          <w:rFonts w:cs="Arial"/>
          <w:b/>
          <w:color w:val="2E74B5" w:themeColor="accent1" w:themeShade="BF"/>
          <w:sz w:val="24"/>
          <w:szCs w:val="24"/>
        </w:rPr>
      </w:pPr>
      <w:r w:rsidRPr="0090693E">
        <w:rPr>
          <w:rFonts w:cs="Arial"/>
          <w:color w:val="2E74B5" w:themeColor="accent1" w:themeShade="BF"/>
          <w:sz w:val="24"/>
          <w:szCs w:val="24"/>
          <w:shd w:val="clear" w:color="auto" w:fill="FFFFFF"/>
        </w:rPr>
        <w:tab/>
      </w:r>
      <w:r w:rsidR="004B3896" w:rsidRPr="0090693E">
        <w:rPr>
          <w:rFonts w:cs="Arial"/>
          <w:b/>
          <w:color w:val="2E74B5" w:themeColor="accent1" w:themeShade="BF"/>
          <w:sz w:val="24"/>
          <w:szCs w:val="24"/>
        </w:rPr>
        <w:tab/>
      </w:r>
      <w:r w:rsidR="00BB321B">
        <w:rPr>
          <w:rFonts w:cs="Arial"/>
          <w:b/>
          <w:color w:val="2E74B5" w:themeColor="accent1" w:themeShade="BF"/>
          <w:sz w:val="24"/>
          <w:szCs w:val="24"/>
        </w:rPr>
        <w:t>6.4</w:t>
      </w:r>
      <w:r w:rsidR="00AA26D2" w:rsidRPr="0090693E">
        <w:rPr>
          <w:rFonts w:cs="Arial"/>
          <w:b/>
          <w:color w:val="2E74B5" w:themeColor="accent1" w:themeShade="BF"/>
          <w:sz w:val="24"/>
          <w:szCs w:val="24"/>
        </w:rPr>
        <w:t xml:space="preserve">. </w:t>
      </w:r>
      <w:r w:rsidR="004B3896" w:rsidRPr="0090693E">
        <w:rPr>
          <w:rFonts w:cs="Arial"/>
          <w:b/>
          <w:color w:val="2E74B5" w:themeColor="accent1" w:themeShade="BF"/>
          <w:sz w:val="24"/>
          <w:szCs w:val="24"/>
        </w:rPr>
        <w:t>EXHORTO</w:t>
      </w:r>
    </w:p>
    <w:p w:rsidR="000E61D8" w:rsidRPr="0090693E" w:rsidRDefault="000E61D8" w:rsidP="0090693E">
      <w:pPr>
        <w:pStyle w:val="corte4fondo"/>
        <w:tabs>
          <w:tab w:val="left" w:pos="567"/>
        </w:tabs>
        <w:spacing w:line="276" w:lineRule="auto"/>
        <w:ind w:firstLine="0"/>
        <w:rPr>
          <w:rFonts w:cs="Arial"/>
          <w:b/>
          <w:color w:val="2E74B5" w:themeColor="accent1" w:themeShade="BF"/>
          <w:sz w:val="24"/>
          <w:szCs w:val="24"/>
        </w:rPr>
      </w:pPr>
    </w:p>
    <w:p w:rsidR="00830B64" w:rsidRPr="0090693E" w:rsidRDefault="00830B64" w:rsidP="0090693E">
      <w:pPr>
        <w:pStyle w:val="corte4fondo"/>
        <w:tabs>
          <w:tab w:val="left" w:pos="567"/>
        </w:tabs>
        <w:spacing w:line="276" w:lineRule="auto"/>
        <w:ind w:firstLine="0"/>
        <w:rPr>
          <w:rFonts w:cs="Arial"/>
          <w:color w:val="2E74B5" w:themeColor="accent1" w:themeShade="BF"/>
          <w:sz w:val="24"/>
          <w:szCs w:val="24"/>
          <w:bdr w:val="none" w:sz="0" w:space="0" w:color="auto" w:frame="1"/>
          <w:shd w:val="clear" w:color="auto" w:fill="FFFFFF"/>
        </w:rPr>
      </w:pPr>
      <w:r w:rsidRPr="0090693E">
        <w:rPr>
          <w:rFonts w:cs="Arial"/>
          <w:color w:val="2E74B5" w:themeColor="accent1" w:themeShade="BF"/>
          <w:sz w:val="24"/>
          <w:szCs w:val="24"/>
          <w:bdr w:val="none" w:sz="0" w:space="0" w:color="auto" w:frame="1"/>
          <w:shd w:val="clear" w:color="auto" w:fill="FFFFFF"/>
        </w:rPr>
        <w:tab/>
        <w:t xml:space="preserve">Por tanto, este Órgano Garante estima que en atención a lo establecido en los artículos 17 y 62 de la Ley de Transparencia y Acceso a la Información Pública del Estado, el Poder Judicial del Estado, debe atender de manera individual cada folio de solicitud de acceso y en consecuencia privilegiar la entrega sin costo de la </w:t>
      </w:r>
      <w:r w:rsidRPr="00BB321B">
        <w:rPr>
          <w:rFonts w:cs="Arial"/>
          <w:color w:val="2E74B5" w:themeColor="accent1" w:themeShade="BF"/>
          <w:sz w:val="24"/>
          <w:szCs w:val="24"/>
          <w:bdr w:val="none" w:sz="0" w:space="0" w:color="auto" w:frame="1"/>
          <w:shd w:val="clear" w:color="auto" w:fill="FFFFFF"/>
        </w:rPr>
        <w:t>información solicitada, en atención a las consideraciones vertidas en el considerando sexto de la</w:t>
      </w:r>
      <w:r w:rsidRPr="0090693E">
        <w:rPr>
          <w:rFonts w:cs="Arial"/>
          <w:color w:val="2E74B5" w:themeColor="accent1" w:themeShade="BF"/>
          <w:sz w:val="24"/>
          <w:szCs w:val="24"/>
          <w:bdr w:val="none" w:sz="0" w:space="0" w:color="auto" w:frame="1"/>
          <w:shd w:val="clear" w:color="auto" w:fill="FFFFFF"/>
        </w:rPr>
        <w:t xml:space="preserve"> presente resolución, tal como lo refiere el numeral 165 de la citada normatividad, ello así con la finalidad de instituir procedimientos y condiciones homogéneas en el ejercicio del derecho de acceso a la información, mediante procedimientos sencillos y expeditos para los particulares.</w:t>
      </w:r>
    </w:p>
    <w:p w:rsidR="00830B64" w:rsidRPr="0090693E" w:rsidRDefault="00830B64" w:rsidP="0090693E">
      <w:pPr>
        <w:pStyle w:val="corte4fondo"/>
        <w:tabs>
          <w:tab w:val="left" w:pos="567"/>
        </w:tabs>
        <w:spacing w:line="276" w:lineRule="auto"/>
        <w:ind w:firstLine="0"/>
        <w:rPr>
          <w:rFonts w:cs="Arial"/>
          <w:color w:val="2E74B5" w:themeColor="accent1" w:themeShade="BF"/>
          <w:sz w:val="24"/>
          <w:szCs w:val="24"/>
          <w:bdr w:val="none" w:sz="0" w:space="0" w:color="auto" w:frame="1"/>
          <w:shd w:val="clear" w:color="auto" w:fill="FFFFFF"/>
        </w:rPr>
      </w:pP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w:t>
      </w:r>
      <w:r w:rsidRPr="0090693E">
        <w:rPr>
          <w:rFonts w:cs="Arial"/>
          <w:b/>
          <w:i/>
          <w:color w:val="2E74B5" w:themeColor="accent1" w:themeShade="BF"/>
          <w:sz w:val="20"/>
          <w:bdr w:val="none" w:sz="0" w:space="0" w:color="auto" w:frame="1"/>
          <w:shd w:val="clear" w:color="auto" w:fill="FFFFFF"/>
        </w:rPr>
        <w:t>ARTÍCULO 17</w:t>
      </w:r>
      <w:r w:rsidRPr="0090693E">
        <w:rPr>
          <w:rFonts w:cs="Arial"/>
          <w:i/>
          <w:color w:val="2E74B5" w:themeColor="accent1" w:themeShade="BF"/>
          <w:sz w:val="20"/>
          <w:bdr w:val="none" w:sz="0" w:space="0" w:color="auto" w:frame="1"/>
          <w:shd w:val="clear" w:color="auto" w:fill="FFFFFF"/>
        </w:rPr>
        <w:t xml:space="preserve">. El ejercicio del derecho de acceso a la información es gratuito y sólo podrá requerirse el cobro correspondiente a la modalidad de reproducción y entrega solicitada.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 xml:space="preserve">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En ningún caso los ajustes razonables que se realicen para el acceso de la información de solicitantes con discapacidad, será con costo a los mismos.</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b/>
          <w:i/>
          <w:color w:val="2E74B5" w:themeColor="accent1" w:themeShade="BF"/>
          <w:sz w:val="20"/>
          <w:bdr w:val="none" w:sz="0" w:space="0" w:color="auto" w:frame="1"/>
          <w:shd w:val="clear" w:color="auto" w:fill="FFFFFF"/>
        </w:rPr>
        <w:t>ARTÍCULO 62</w:t>
      </w:r>
      <w:r w:rsidRPr="0090693E">
        <w:rPr>
          <w:rFonts w:cs="Arial"/>
          <w:i/>
          <w:color w:val="2E74B5" w:themeColor="accent1" w:themeShade="BF"/>
          <w:sz w:val="20"/>
          <w:bdr w:val="none" w:sz="0" w:space="0" w:color="auto" w:frame="1"/>
          <w:shd w:val="clear" w:color="auto" w:fill="FFFFFF"/>
        </w:rPr>
        <w:t xml:space="preserve">. Los sujetos obligados deberán atender al principio de máxima publicidad, permitiendo que la información pública se difunda en medios electrónicos que facilite su reproducción directa por el interesado o solicitante.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 xml:space="preserve">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lastRenderedPageBreak/>
        <w:t xml:space="preserve">En los demás casos, respetando el principio de gratuidad, los sujetos obligados observarán las cuotas que se fijen en sus respectivas Leyes de Ingresos por su reproducción.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 xml:space="preserve"> </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r w:rsidRPr="0090693E">
        <w:rPr>
          <w:rFonts w:cs="Arial"/>
          <w:i/>
          <w:color w:val="2E74B5" w:themeColor="accent1" w:themeShade="BF"/>
          <w:sz w:val="20"/>
          <w:bdr w:val="none" w:sz="0" w:space="0" w:color="auto" w:frame="1"/>
          <w:shd w:val="clear" w:color="auto" w:fill="FFFFFF"/>
        </w:rPr>
        <w:t xml:space="preserve"> Los sujetos obligados que por su naturaleza jurídica no cuenten con Ley de Ingresos, deberá remitirse a la Ley de Ingresos del Estado o Municipios, según corresponda.</w:t>
      </w:r>
    </w:p>
    <w:p w:rsidR="00830B64" w:rsidRPr="0090693E" w:rsidRDefault="00830B64" w:rsidP="0090693E">
      <w:pPr>
        <w:pStyle w:val="corte4fondo"/>
        <w:tabs>
          <w:tab w:val="left" w:pos="567"/>
        </w:tabs>
        <w:spacing w:line="276" w:lineRule="auto"/>
        <w:rPr>
          <w:rFonts w:cs="Arial"/>
          <w:i/>
          <w:color w:val="2E74B5" w:themeColor="accent1" w:themeShade="BF"/>
          <w:sz w:val="20"/>
          <w:bdr w:val="none" w:sz="0" w:space="0" w:color="auto" w:frame="1"/>
          <w:shd w:val="clear" w:color="auto" w:fill="FFFFFF"/>
        </w:rPr>
      </w:pP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b/>
          <w:i/>
          <w:color w:val="2E74B5" w:themeColor="accent1" w:themeShade="BF"/>
          <w:sz w:val="20"/>
          <w:szCs w:val="20"/>
        </w:rPr>
        <w:t>ARTÍCULO 165</w:t>
      </w:r>
      <w:r w:rsidRPr="0090693E">
        <w:rPr>
          <w:rFonts w:ascii="Arial" w:hAnsi="Arial" w:cs="Arial"/>
          <w:i/>
          <w:color w:val="2E74B5" w:themeColor="accent1" w:themeShade="BF"/>
          <w:sz w:val="20"/>
          <w:szCs w:val="20"/>
        </w:rPr>
        <w:t xml:space="preserve">. En caso de existir costos para obtener la información, deberán cubrirse de manera previa a la entrega y no podrán ser superiores a la suma de: </w:t>
      </w: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 El costo de los materiales utilizados en la reproducción de la información; </w:t>
      </w: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II. El costo de envío, en su caso, y </w:t>
      </w: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III. El pago de la certificación de los Documentos, cuando proceda. Tratándose de la reproducción en medios magnéticos, si el solicitante aporta el medio en el que será almacenada la información, la reproducción será totalmente gratuita. </w:t>
      </w: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Los sujetos obligados llevarán a cabo la reproducción y/o envío de la información solicitada, previo pago de los derechos correspondientes. La información deberá ser entregada sin costo, cuando implique la entrega de no más de veinte hojas simples. </w:t>
      </w: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p>
    <w:p w:rsidR="009E545A" w:rsidRPr="0090693E" w:rsidRDefault="009E545A" w:rsidP="0090693E">
      <w:pPr>
        <w:tabs>
          <w:tab w:val="left" w:pos="8789"/>
        </w:tabs>
        <w:spacing w:after="0"/>
        <w:ind w:right="50" w:firstLine="426"/>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Las unidades de transparencia podrán exceptuar el pago de reproducción y envío atendiendo a las circunstancias socioeconómicas del solicitante. Ante la falta de respuesta a una solicitud en el plazo previsto y en caso de que proceda el acceso, los costos de reproducción y envío correrán a cargo del sujeto obligado. </w:t>
      </w:r>
    </w:p>
    <w:p w:rsidR="009E545A" w:rsidRPr="0090693E" w:rsidRDefault="009E545A" w:rsidP="0090693E">
      <w:pPr>
        <w:tabs>
          <w:tab w:val="left" w:pos="7371"/>
        </w:tabs>
        <w:spacing w:after="0"/>
        <w:ind w:left="1134" w:right="1183"/>
        <w:jc w:val="both"/>
        <w:rPr>
          <w:rFonts w:ascii="Arial" w:hAnsi="Arial" w:cs="Arial"/>
          <w:i/>
          <w:color w:val="2E74B5" w:themeColor="accent1" w:themeShade="BF"/>
          <w:sz w:val="20"/>
          <w:szCs w:val="20"/>
        </w:rPr>
      </w:pPr>
    </w:p>
    <w:p w:rsidR="00830B64" w:rsidRPr="0090693E" w:rsidRDefault="009E545A" w:rsidP="0090693E">
      <w:pPr>
        <w:tabs>
          <w:tab w:val="left" w:pos="8789"/>
        </w:tabs>
        <w:spacing w:after="0"/>
        <w:ind w:right="5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establecerán la obligación de fijar una cuenta bancaria única y exclusivamente para que el solicitante realice el pago íntegro del costo de la información que solicitó…</w:t>
      </w:r>
      <w:r w:rsidR="0037522D" w:rsidRPr="0090693E">
        <w:rPr>
          <w:rFonts w:ascii="Arial" w:hAnsi="Arial" w:cs="Arial"/>
          <w:i/>
          <w:color w:val="2E74B5" w:themeColor="accent1" w:themeShade="BF"/>
          <w:sz w:val="20"/>
          <w:szCs w:val="20"/>
        </w:rPr>
        <w:t>”.</w:t>
      </w:r>
    </w:p>
    <w:p w:rsidR="00830B64" w:rsidRPr="0090693E" w:rsidRDefault="00830B64" w:rsidP="0090693E">
      <w:pPr>
        <w:pStyle w:val="corte4fondo"/>
        <w:tabs>
          <w:tab w:val="left" w:pos="567"/>
        </w:tabs>
        <w:spacing w:line="276" w:lineRule="auto"/>
        <w:rPr>
          <w:rFonts w:cs="Arial"/>
          <w:color w:val="2E74B5" w:themeColor="accent1" w:themeShade="BF"/>
          <w:sz w:val="24"/>
          <w:szCs w:val="24"/>
          <w:bdr w:val="none" w:sz="0" w:space="0" w:color="auto" w:frame="1"/>
          <w:shd w:val="clear" w:color="auto" w:fill="FFFFFF"/>
        </w:rPr>
      </w:pPr>
    </w:p>
    <w:p w:rsidR="00FD08FD" w:rsidRPr="0090693E" w:rsidRDefault="00FD08FD" w:rsidP="0090693E">
      <w:pPr>
        <w:pStyle w:val="corte4fondo"/>
        <w:tabs>
          <w:tab w:val="left" w:pos="567"/>
        </w:tabs>
        <w:spacing w:line="276" w:lineRule="auto"/>
        <w:ind w:firstLine="0"/>
        <w:rPr>
          <w:rFonts w:cs="Arial"/>
          <w:color w:val="2E74B5" w:themeColor="accent1" w:themeShade="BF"/>
          <w:sz w:val="24"/>
          <w:szCs w:val="24"/>
        </w:rPr>
      </w:pPr>
      <w:r w:rsidRPr="0090693E">
        <w:rPr>
          <w:rFonts w:cs="Arial"/>
          <w:color w:val="2E74B5" w:themeColor="accent1" w:themeShade="BF"/>
          <w:sz w:val="24"/>
          <w:szCs w:val="24"/>
          <w:bdr w:val="none" w:sz="0" w:space="0" w:color="auto" w:frame="1"/>
          <w:shd w:val="clear" w:color="auto" w:fill="FFFFFF"/>
        </w:rPr>
        <w:tab/>
        <w:t>En virtud de lo anterior, </w:t>
      </w:r>
      <w:r w:rsidRPr="0090693E">
        <w:rPr>
          <w:rFonts w:cs="Arial"/>
          <w:b/>
          <w:bCs/>
          <w:color w:val="2E74B5" w:themeColor="accent1" w:themeShade="BF"/>
          <w:sz w:val="24"/>
          <w:szCs w:val="24"/>
          <w:bdr w:val="none" w:sz="0" w:space="0" w:color="auto" w:frame="1"/>
          <w:shd w:val="clear" w:color="auto" w:fill="FFFFFF"/>
        </w:rPr>
        <w:t xml:space="preserve">SE EXHORTA al sujeto obligado </w:t>
      </w:r>
      <w:r w:rsidRPr="0090693E">
        <w:rPr>
          <w:rFonts w:cs="Arial"/>
          <w:bCs/>
          <w:color w:val="2E74B5" w:themeColor="accent1" w:themeShade="BF"/>
          <w:sz w:val="24"/>
          <w:szCs w:val="24"/>
          <w:bdr w:val="none" w:sz="0" w:space="0" w:color="auto" w:frame="1"/>
          <w:shd w:val="clear" w:color="auto" w:fill="FFFFFF"/>
        </w:rPr>
        <w:t>a que</w:t>
      </w:r>
      <w:r w:rsidRPr="0090693E">
        <w:rPr>
          <w:rFonts w:cs="Arial"/>
          <w:b/>
          <w:bCs/>
          <w:color w:val="2E74B5" w:themeColor="accent1" w:themeShade="BF"/>
          <w:sz w:val="24"/>
          <w:szCs w:val="24"/>
          <w:bdr w:val="none" w:sz="0" w:space="0" w:color="auto" w:frame="1"/>
          <w:shd w:val="clear" w:color="auto" w:fill="FFFFFF"/>
        </w:rPr>
        <w:t>, </w:t>
      </w:r>
      <w:r w:rsidRPr="0090693E">
        <w:rPr>
          <w:rFonts w:cs="Arial"/>
          <w:color w:val="2E74B5" w:themeColor="accent1" w:themeShade="BF"/>
          <w:sz w:val="24"/>
          <w:szCs w:val="24"/>
          <w:bdr w:val="none" w:sz="0" w:space="0" w:color="auto" w:frame="1"/>
          <w:shd w:val="clear" w:color="auto" w:fill="FFFFFF"/>
        </w:rPr>
        <w:t xml:space="preserve">en el futuro, se abstenga </w:t>
      </w:r>
      <w:r w:rsidR="0037522D" w:rsidRPr="0090693E">
        <w:rPr>
          <w:rFonts w:cs="Arial"/>
          <w:color w:val="2E74B5" w:themeColor="accent1" w:themeShade="BF"/>
          <w:sz w:val="24"/>
          <w:szCs w:val="24"/>
          <w:bdr w:val="none" w:sz="0" w:space="0" w:color="auto" w:frame="1"/>
          <w:shd w:val="clear" w:color="auto" w:fill="FFFFFF"/>
        </w:rPr>
        <w:t xml:space="preserve">realizar </w:t>
      </w:r>
      <w:r w:rsidRPr="0090693E">
        <w:rPr>
          <w:rFonts w:cs="Arial"/>
          <w:color w:val="2E74B5" w:themeColor="accent1" w:themeShade="BF"/>
          <w:sz w:val="24"/>
          <w:szCs w:val="24"/>
          <w:bdr w:val="none" w:sz="0" w:space="0" w:color="auto" w:frame="1"/>
          <w:shd w:val="clear" w:color="auto" w:fill="FFFFFF"/>
        </w:rPr>
        <w:t>acumulaciones al contestar las solicitudes de acceso a la información</w:t>
      </w:r>
      <w:r w:rsidRPr="0090693E">
        <w:rPr>
          <w:rFonts w:cs="Arial"/>
          <w:b/>
          <w:bCs/>
          <w:color w:val="2E74B5" w:themeColor="accent1" w:themeShade="BF"/>
          <w:sz w:val="24"/>
          <w:szCs w:val="24"/>
          <w:bdr w:val="none" w:sz="0" w:space="0" w:color="auto" w:frame="1"/>
          <w:shd w:val="clear" w:color="auto" w:fill="FFFFFF"/>
        </w:rPr>
        <w:t> </w:t>
      </w:r>
      <w:r w:rsidRPr="0090693E">
        <w:rPr>
          <w:rFonts w:cs="Arial"/>
          <w:color w:val="2E74B5" w:themeColor="accent1" w:themeShade="BF"/>
          <w:sz w:val="24"/>
          <w:szCs w:val="24"/>
          <w:bdr w:val="none" w:sz="0" w:space="0" w:color="auto" w:frame="1"/>
          <w:shd w:val="clear" w:color="auto" w:fill="FFFFFF"/>
        </w:rPr>
        <w:t xml:space="preserve">y </w:t>
      </w:r>
      <w:r w:rsidR="0037522D" w:rsidRPr="0090693E">
        <w:rPr>
          <w:rFonts w:cs="Arial"/>
          <w:color w:val="2E74B5" w:themeColor="accent1" w:themeShade="BF"/>
          <w:sz w:val="24"/>
          <w:szCs w:val="24"/>
          <w:bdr w:val="none" w:sz="0" w:space="0" w:color="auto" w:frame="1"/>
          <w:shd w:val="clear" w:color="auto" w:fill="FFFFFF"/>
        </w:rPr>
        <w:t>c</w:t>
      </w:r>
      <w:r w:rsidRPr="0090693E">
        <w:rPr>
          <w:rFonts w:cs="Arial"/>
          <w:color w:val="2E74B5" w:themeColor="accent1" w:themeShade="BF"/>
          <w:sz w:val="24"/>
          <w:szCs w:val="24"/>
          <w:bdr w:val="none" w:sz="0" w:space="0" w:color="auto" w:frame="1"/>
          <w:shd w:val="clear" w:color="auto" w:fill="FFFFFF"/>
        </w:rPr>
        <w:t>onsiderar manifestaciones señaladas en el presente considerando a efecto de garantizar las medidas y condiciones de accesibilidad para que toda persona pueda ejercer el derecho de acceso a la información.  </w:t>
      </w:r>
    </w:p>
    <w:p w:rsidR="00450214" w:rsidRPr="0090693E" w:rsidRDefault="00450214" w:rsidP="0090693E">
      <w:pPr>
        <w:pStyle w:val="corte4fondo"/>
        <w:spacing w:line="276" w:lineRule="auto"/>
        <w:ind w:firstLine="0"/>
        <w:rPr>
          <w:rFonts w:cs="Arial"/>
          <w:color w:val="2E74B5" w:themeColor="accent1" w:themeShade="BF"/>
          <w:sz w:val="24"/>
          <w:szCs w:val="24"/>
        </w:rPr>
      </w:pPr>
    </w:p>
    <w:p w:rsidR="00450214" w:rsidRPr="0090693E" w:rsidRDefault="00450214" w:rsidP="0090693E">
      <w:pPr>
        <w:pStyle w:val="corte4fondo"/>
        <w:spacing w:line="276" w:lineRule="auto"/>
        <w:rPr>
          <w:rFonts w:cs="Arial"/>
          <w:color w:val="2E74B5" w:themeColor="accent1" w:themeShade="BF"/>
          <w:sz w:val="24"/>
          <w:szCs w:val="24"/>
        </w:rPr>
      </w:pPr>
      <w:r w:rsidRPr="0090693E">
        <w:rPr>
          <w:rFonts w:cs="Arial"/>
          <w:b/>
          <w:color w:val="2E74B5" w:themeColor="accent1" w:themeShade="BF"/>
          <w:sz w:val="24"/>
          <w:szCs w:val="24"/>
        </w:rPr>
        <w:t>6.</w:t>
      </w:r>
      <w:r w:rsidR="00BB321B">
        <w:rPr>
          <w:rFonts w:cs="Arial"/>
          <w:b/>
          <w:color w:val="2E74B5" w:themeColor="accent1" w:themeShade="BF"/>
          <w:sz w:val="24"/>
          <w:szCs w:val="24"/>
        </w:rPr>
        <w:t>5</w:t>
      </w:r>
      <w:r w:rsidRPr="0090693E">
        <w:rPr>
          <w:rFonts w:cs="Arial"/>
          <w:b/>
          <w:color w:val="2E74B5" w:themeColor="accent1" w:themeShade="BF"/>
          <w:sz w:val="24"/>
          <w:szCs w:val="24"/>
        </w:rPr>
        <w:t xml:space="preserve">. </w:t>
      </w:r>
      <w:r w:rsidR="003E3970" w:rsidRPr="0090693E">
        <w:rPr>
          <w:rFonts w:cs="Arial"/>
          <w:b/>
          <w:color w:val="2E74B5" w:themeColor="accent1" w:themeShade="BF"/>
          <w:sz w:val="24"/>
          <w:szCs w:val="24"/>
        </w:rPr>
        <w:t xml:space="preserve">Sentido y </w:t>
      </w:r>
      <w:r w:rsidRPr="0090693E">
        <w:rPr>
          <w:rFonts w:cs="Arial"/>
          <w:b/>
          <w:color w:val="2E74B5" w:themeColor="accent1" w:themeShade="BF"/>
          <w:sz w:val="24"/>
          <w:szCs w:val="24"/>
        </w:rPr>
        <w:t xml:space="preserve">Efectos de la Resolución.  </w:t>
      </w:r>
    </w:p>
    <w:p w:rsidR="00450214" w:rsidRPr="0090693E" w:rsidRDefault="00450214" w:rsidP="0090693E">
      <w:pPr>
        <w:pStyle w:val="corte4fondo"/>
        <w:spacing w:line="276" w:lineRule="auto"/>
        <w:rPr>
          <w:rFonts w:cs="Arial"/>
          <w:color w:val="2E74B5" w:themeColor="accent1" w:themeShade="BF"/>
          <w:sz w:val="24"/>
          <w:szCs w:val="24"/>
        </w:rPr>
      </w:pPr>
    </w:p>
    <w:p w:rsidR="0037522D" w:rsidRPr="0090693E" w:rsidRDefault="0037522D" w:rsidP="0090693E">
      <w:pPr>
        <w:pStyle w:val="corte4fondo"/>
        <w:spacing w:line="276" w:lineRule="auto"/>
        <w:rPr>
          <w:rFonts w:cs="Arial"/>
          <w:color w:val="2E74B5" w:themeColor="accent1" w:themeShade="BF"/>
          <w:sz w:val="24"/>
          <w:szCs w:val="24"/>
          <w:lang w:val="es-ES"/>
        </w:rPr>
      </w:pPr>
      <w:r w:rsidRPr="0090693E">
        <w:rPr>
          <w:rFonts w:cs="Arial"/>
          <w:color w:val="2E74B5" w:themeColor="accent1" w:themeShade="BF"/>
          <w:sz w:val="24"/>
          <w:szCs w:val="24"/>
        </w:rPr>
        <w:t xml:space="preserve">En las condiciones anotadas esta Comisión, con fundamento en el artículo 175, fracción II de la Ley en cita, </w:t>
      </w:r>
      <w:r w:rsidRPr="0090693E">
        <w:rPr>
          <w:rFonts w:cs="Arial"/>
          <w:b/>
          <w:color w:val="2E74B5" w:themeColor="accent1" w:themeShade="BF"/>
          <w:sz w:val="24"/>
          <w:szCs w:val="24"/>
        </w:rPr>
        <w:t xml:space="preserve">Revoca </w:t>
      </w:r>
      <w:r w:rsidRPr="0090693E">
        <w:rPr>
          <w:rFonts w:cs="Arial"/>
          <w:color w:val="2E74B5" w:themeColor="accent1" w:themeShade="BF"/>
          <w:sz w:val="24"/>
          <w:szCs w:val="24"/>
          <w:lang w:val="es-ES"/>
        </w:rPr>
        <w:t>la respuesta otorgada por el sujeto obligado y lo conmina a efecto de que emita una nueva en la que:</w:t>
      </w:r>
    </w:p>
    <w:p w:rsidR="00AF5EE4" w:rsidRPr="0090693E" w:rsidRDefault="00AF5EE4" w:rsidP="0090693E">
      <w:pPr>
        <w:pStyle w:val="corte4fondo"/>
        <w:spacing w:line="276" w:lineRule="auto"/>
        <w:rPr>
          <w:rFonts w:cs="Arial"/>
          <w:color w:val="2E74B5" w:themeColor="accent1" w:themeShade="BF"/>
          <w:sz w:val="24"/>
          <w:szCs w:val="24"/>
          <w:lang w:val="es-ES"/>
        </w:rPr>
      </w:pPr>
    </w:p>
    <w:p w:rsidR="00AF5EE4" w:rsidRPr="0090693E" w:rsidRDefault="00AF5EE4" w:rsidP="0090693E">
      <w:pPr>
        <w:pStyle w:val="Prrafodelista"/>
        <w:numPr>
          <w:ilvl w:val="0"/>
          <w:numId w:val="14"/>
        </w:numPr>
        <w:spacing w:line="276" w:lineRule="auto"/>
        <w:rPr>
          <w:rFonts w:ascii="Arial" w:hAnsi="Arial" w:cs="Arial"/>
          <w:color w:val="2E74B5" w:themeColor="accent1" w:themeShade="BF"/>
          <w:sz w:val="24"/>
        </w:rPr>
      </w:pPr>
      <w:r w:rsidRPr="0090693E">
        <w:rPr>
          <w:rFonts w:ascii="Arial" w:hAnsi="Arial" w:cs="Arial"/>
          <w:color w:val="2E74B5" w:themeColor="accent1" w:themeShade="BF"/>
          <w:sz w:val="24"/>
        </w:rPr>
        <w:t>Proporcione</w:t>
      </w:r>
      <w:r w:rsidRPr="0090693E">
        <w:rPr>
          <w:rFonts w:ascii="Arial" w:hAnsi="Arial" w:cs="Arial"/>
          <w:color w:val="2E74B5" w:themeColor="accent1" w:themeShade="BF"/>
          <w:sz w:val="24"/>
        </w:rPr>
        <w:t xml:space="preserve"> </w:t>
      </w:r>
      <w:r w:rsidRPr="0090693E">
        <w:rPr>
          <w:rFonts w:ascii="Arial" w:hAnsi="Arial" w:cs="Arial"/>
          <w:color w:val="2E74B5" w:themeColor="accent1" w:themeShade="BF"/>
          <w:sz w:val="24"/>
        </w:rPr>
        <w:t>en la modalidad electrónica la información solicitada por el particular, relativa:</w:t>
      </w:r>
    </w:p>
    <w:p w:rsidR="00AF5EE4" w:rsidRPr="0090693E" w:rsidRDefault="00AF5EE4" w:rsidP="0090693E">
      <w:pPr>
        <w:pStyle w:val="Prrafodelista"/>
        <w:spacing w:line="276" w:lineRule="auto"/>
        <w:rPr>
          <w:rFonts w:ascii="Arial" w:hAnsi="Arial" w:cs="Arial"/>
          <w:color w:val="2E74B5" w:themeColor="accent1" w:themeShade="BF"/>
          <w:sz w:val="24"/>
        </w:rPr>
      </w:pP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1. Documento (acta del pleno del consejo o comisión de administración o acuerdo de cualquier naturaleza) en el que conste la autorización para gastar más del monto presupuestado para el informa del magistrado presidente para el ejercicio 2016.</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2. Documento (acta del pleno del consejo o comisión de administración o acuerdo de cualquier naturaleza) en el que conste la autorización para gastar más del monto presupuestado para el informa del magistrado presidente para el ejercicio 2017.</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3. Partida de la que se tomó la diferencia. para 2016. </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lastRenderedPageBreak/>
        <w:t>4. documento que autoriza la afectación de otra partida para hacer el pago de la diferencia entre presupuestado y gastado en el informe del presidente para 2016.</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 xml:space="preserve">5. Partida de la que se tomó la diferencia. para 2017. </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6. documento que autoriza la afectación de otra partida para hacer el pago de la diferencia entre presupuestado y gastado en el informe del presidente para 2017.</w:t>
      </w:r>
    </w:p>
    <w:p w:rsidR="00AF5EE4" w:rsidRPr="0090693E" w:rsidRDefault="00AF5EE4" w:rsidP="0090693E">
      <w:pPr>
        <w:spacing w:after="0"/>
        <w:jc w:val="both"/>
        <w:rPr>
          <w:rFonts w:ascii="Arial" w:hAnsi="Arial" w:cs="Arial"/>
          <w:i/>
          <w:color w:val="2E74B5" w:themeColor="accent1" w:themeShade="BF"/>
          <w:sz w:val="20"/>
          <w:szCs w:val="20"/>
        </w:rPr>
      </w:pPr>
      <w:r w:rsidRPr="0090693E">
        <w:rPr>
          <w:rFonts w:ascii="Arial" w:hAnsi="Arial" w:cs="Arial"/>
          <w:i/>
          <w:color w:val="2E74B5" w:themeColor="accent1" w:themeShade="BF"/>
          <w:sz w:val="20"/>
          <w:szCs w:val="20"/>
        </w:rPr>
        <w:t>7. versión digital de las facturas que avalan los gastos hechos en en el informe 2016.</w:t>
      </w:r>
    </w:p>
    <w:p w:rsidR="0037522D" w:rsidRPr="0090693E" w:rsidRDefault="00AF5EE4" w:rsidP="0090693E">
      <w:pPr>
        <w:pStyle w:val="corte4fondo"/>
        <w:tabs>
          <w:tab w:val="left" w:pos="567"/>
        </w:tabs>
        <w:spacing w:line="276" w:lineRule="auto"/>
        <w:ind w:firstLine="0"/>
        <w:rPr>
          <w:rFonts w:cs="Arial"/>
          <w:color w:val="2E74B5" w:themeColor="accent1" w:themeShade="BF"/>
          <w:sz w:val="24"/>
          <w:szCs w:val="24"/>
        </w:rPr>
      </w:pPr>
      <w:r w:rsidRPr="0090693E">
        <w:rPr>
          <w:rFonts w:cs="Arial"/>
          <w:i/>
          <w:color w:val="2E74B5" w:themeColor="accent1" w:themeShade="BF"/>
          <w:sz w:val="20"/>
        </w:rPr>
        <w:t>8. versión digital de las facturas que avalan los gastos hechos en en el informe 2016.</w:t>
      </w:r>
    </w:p>
    <w:p w:rsidR="00450214" w:rsidRPr="0090693E" w:rsidRDefault="00450214" w:rsidP="0090693E">
      <w:pPr>
        <w:pStyle w:val="corte4fondo"/>
        <w:spacing w:line="276" w:lineRule="auto"/>
        <w:ind w:left="720" w:firstLine="0"/>
        <w:rPr>
          <w:rFonts w:cs="Arial"/>
          <w:color w:val="2E74B5" w:themeColor="accent1" w:themeShade="BF"/>
          <w:sz w:val="24"/>
          <w:szCs w:val="24"/>
          <w:lang w:val="es-ES"/>
        </w:rPr>
      </w:pPr>
    </w:p>
    <w:p w:rsidR="00450214" w:rsidRPr="0090693E" w:rsidRDefault="00450214" w:rsidP="0090693E">
      <w:pPr>
        <w:pStyle w:val="corte4fondo"/>
        <w:tabs>
          <w:tab w:val="left" w:pos="567"/>
        </w:tabs>
        <w:spacing w:line="276" w:lineRule="auto"/>
        <w:ind w:firstLine="0"/>
        <w:rPr>
          <w:rFonts w:cs="Arial"/>
          <w:b/>
          <w:color w:val="2E74B5" w:themeColor="accent1" w:themeShade="BF"/>
          <w:sz w:val="24"/>
          <w:szCs w:val="24"/>
        </w:rPr>
      </w:pPr>
      <w:r w:rsidRPr="0090693E">
        <w:rPr>
          <w:rFonts w:cs="Arial"/>
          <w:b/>
          <w:color w:val="2E74B5" w:themeColor="accent1" w:themeShade="BF"/>
          <w:sz w:val="25"/>
          <w:szCs w:val="25"/>
        </w:rPr>
        <w:tab/>
      </w:r>
      <w:r w:rsidR="00AA26D2" w:rsidRPr="0090693E">
        <w:rPr>
          <w:rFonts w:cs="Arial"/>
          <w:b/>
          <w:color w:val="2E74B5" w:themeColor="accent1" w:themeShade="BF"/>
          <w:sz w:val="24"/>
          <w:szCs w:val="24"/>
        </w:rPr>
        <w:t>6.</w:t>
      </w:r>
      <w:r w:rsidR="00BB321B">
        <w:rPr>
          <w:rFonts w:cs="Arial"/>
          <w:b/>
          <w:color w:val="2E74B5" w:themeColor="accent1" w:themeShade="BF"/>
          <w:sz w:val="24"/>
          <w:szCs w:val="24"/>
        </w:rPr>
        <w:t>6</w:t>
      </w:r>
      <w:r w:rsidRPr="0090693E">
        <w:rPr>
          <w:rFonts w:cs="Arial"/>
          <w:b/>
          <w:color w:val="2E74B5" w:themeColor="accent1" w:themeShade="BF"/>
          <w:sz w:val="24"/>
          <w:szCs w:val="24"/>
        </w:rPr>
        <w:t>. Precisiones de esta resolución.</w:t>
      </w:r>
    </w:p>
    <w:p w:rsidR="00450214" w:rsidRPr="0090693E" w:rsidRDefault="00450214" w:rsidP="0090693E">
      <w:pPr>
        <w:pStyle w:val="corte4fondo"/>
        <w:tabs>
          <w:tab w:val="left" w:pos="567"/>
        </w:tabs>
        <w:spacing w:line="276" w:lineRule="auto"/>
        <w:ind w:firstLine="0"/>
        <w:rPr>
          <w:rFonts w:cs="Arial"/>
          <w:b/>
          <w:color w:val="2E74B5" w:themeColor="accent1" w:themeShade="BF"/>
          <w:sz w:val="24"/>
          <w:szCs w:val="24"/>
        </w:rPr>
      </w:pPr>
      <w:r w:rsidRPr="0090693E">
        <w:rPr>
          <w:rFonts w:cs="Arial"/>
          <w:b/>
          <w:color w:val="2E74B5" w:themeColor="accent1" w:themeShade="BF"/>
          <w:sz w:val="24"/>
          <w:szCs w:val="24"/>
        </w:rPr>
        <w:tab/>
      </w:r>
    </w:p>
    <w:p w:rsidR="00450214" w:rsidRPr="0090693E" w:rsidRDefault="00450214" w:rsidP="0090693E">
      <w:pPr>
        <w:pStyle w:val="corte4fondo"/>
        <w:tabs>
          <w:tab w:val="left" w:pos="567"/>
        </w:tabs>
        <w:spacing w:line="276" w:lineRule="auto"/>
        <w:ind w:firstLine="0"/>
        <w:rPr>
          <w:rFonts w:cs="Arial"/>
          <w:color w:val="2E74B5" w:themeColor="accent1" w:themeShade="BF"/>
          <w:sz w:val="24"/>
          <w:szCs w:val="24"/>
        </w:rPr>
      </w:pPr>
      <w:r w:rsidRPr="0090693E">
        <w:rPr>
          <w:rFonts w:cs="Arial"/>
          <w:b/>
          <w:color w:val="2E74B5" w:themeColor="accent1" w:themeShade="BF"/>
          <w:sz w:val="24"/>
          <w:szCs w:val="24"/>
        </w:rPr>
        <w:tab/>
      </w:r>
      <w:r w:rsidRPr="0090693E">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450214" w:rsidRPr="0090693E" w:rsidRDefault="00450214" w:rsidP="0090693E">
      <w:pPr>
        <w:pStyle w:val="corte4fondo"/>
        <w:tabs>
          <w:tab w:val="left" w:pos="567"/>
        </w:tabs>
        <w:spacing w:line="276" w:lineRule="auto"/>
        <w:ind w:firstLine="0"/>
        <w:rPr>
          <w:rFonts w:cs="Arial"/>
          <w:color w:val="2E74B5" w:themeColor="accent1" w:themeShade="BF"/>
          <w:sz w:val="24"/>
          <w:szCs w:val="24"/>
        </w:rPr>
      </w:pPr>
    </w:p>
    <w:p w:rsidR="00E911CF" w:rsidRPr="0090693E" w:rsidRDefault="00450214" w:rsidP="0090693E">
      <w:pPr>
        <w:pStyle w:val="corte4fondo"/>
        <w:numPr>
          <w:ilvl w:val="0"/>
          <w:numId w:val="5"/>
        </w:numPr>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r w:rsidR="00E911CF" w:rsidRPr="0090693E">
        <w:rPr>
          <w:rFonts w:cs="Arial"/>
          <w:color w:val="2E74B5" w:themeColor="accent1" w:themeShade="BF"/>
          <w:sz w:val="24"/>
          <w:szCs w:val="24"/>
        </w:rPr>
        <w:t xml:space="preserve"> </w:t>
      </w:r>
    </w:p>
    <w:p w:rsidR="00E911CF" w:rsidRPr="0090693E" w:rsidRDefault="00E911CF" w:rsidP="0090693E">
      <w:pPr>
        <w:pStyle w:val="corte4fondo"/>
        <w:numPr>
          <w:ilvl w:val="0"/>
          <w:numId w:val="5"/>
        </w:numPr>
        <w:autoSpaceDE w:val="0"/>
        <w:autoSpaceDN w:val="0"/>
        <w:adjustRightInd w:val="0"/>
        <w:spacing w:line="276" w:lineRule="auto"/>
        <w:ind w:right="50"/>
        <w:rPr>
          <w:rFonts w:cs="Arial"/>
          <w:color w:val="2E74B5" w:themeColor="accent1" w:themeShade="BF"/>
          <w:sz w:val="24"/>
        </w:rPr>
      </w:pPr>
      <w:r w:rsidRPr="0090693E">
        <w:rPr>
          <w:rFonts w:cs="Arial"/>
          <w:color w:val="2E74B5" w:themeColor="accent1" w:themeShade="BF"/>
          <w:sz w:val="24"/>
          <w:szCs w:val="24"/>
        </w:rPr>
        <w:t xml:space="preserve">De conformidad con lo establecido en </w:t>
      </w:r>
      <w:r w:rsidRPr="00BB321B">
        <w:rPr>
          <w:rFonts w:cs="Arial"/>
          <w:color w:val="2E74B5" w:themeColor="accent1" w:themeShade="BF"/>
          <w:sz w:val="24"/>
          <w:szCs w:val="24"/>
        </w:rPr>
        <w:t xml:space="preserve">el </w:t>
      </w:r>
      <w:r w:rsidR="00BB321B" w:rsidRPr="00BB321B">
        <w:rPr>
          <w:rFonts w:cs="Arial"/>
          <w:color w:val="2E74B5" w:themeColor="accent1" w:themeShade="BF"/>
          <w:sz w:val="24"/>
          <w:szCs w:val="24"/>
        </w:rPr>
        <w:t>Considerando s</w:t>
      </w:r>
      <w:r w:rsidRPr="00BB321B">
        <w:rPr>
          <w:rFonts w:cs="Arial"/>
          <w:color w:val="2E74B5" w:themeColor="accent1" w:themeShade="BF"/>
          <w:sz w:val="24"/>
          <w:szCs w:val="24"/>
        </w:rPr>
        <w:t>exto punto 6.1.</w:t>
      </w:r>
      <w:r w:rsidR="00BB321B" w:rsidRPr="00BB321B">
        <w:rPr>
          <w:rFonts w:cs="Arial"/>
          <w:color w:val="2E74B5" w:themeColor="accent1" w:themeShade="BF"/>
          <w:sz w:val="24"/>
          <w:szCs w:val="24"/>
        </w:rPr>
        <w:t>4</w:t>
      </w:r>
      <w:r w:rsidRPr="00BB321B">
        <w:rPr>
          <w:rFonts w:cs="Arial"/>
          <w:color w:val="2E74B5" w:themeColor="accent1" w:themeShade="BF"/>
          <w:sz w:val="24"/>
          <w:szCs w:val="24"/>
        </w:rPr>
        <w:t>, el</w:t>
      </w:r>
      <w:r w:rsidRPr="0090693E">
        <w:rPr>
          <w:rFonts w:cs="Arial"/>
          <w:color w:val="2E74B5" w:themeColor="accent1" w:themeShade="BF"/>
          <w:sz w:val="24"/>
          <w:szCs w:val="24"/>
        </w:rPr>
        <w:t xml:space="preserve"> Sujeto Obligado deberá atender de manera individual cada folio de solicitud de acceso.</w:t>
      </w:r>
    </w:p>
    <w:p w:rsidR="00450214" w:rsidRPr="0090693E" w:rsidRDefault="00E911CF" w:rsidP="0090693E">
      <w:pPr>
        <w:pStyle w:val="corte4fondo"/>
        <w:numPr>
          <w:ilvl w:val="0"/>
          <w:numId w:val="5"/>
        </w:numPr>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El sujeto</w:t>
      </w:r>
      <w:r w:rsidR="00450214" w:rsidRPr="0090693E">
        <w:rPr>
          <w:rFonts w:cs="Arial"/>
          <w:color w:val="2E74B5" w:themeColor="accent1" w:themeShade="BF"/>
          <w:sz w:val="24"/>
          <w:szCs w:val="24"/>
        </w:rPr>
        <w:t xml:space="preserve"> obligado deberá cuidar en todo momento que la información que entregará no contenga datos personales o confidenciales, pues en caso de contener información con esos datos, deberá elaborar la versión pública. </w:t>
      </w:r>
    </w:p>
    <w:p w:rsidR="00450214" w:rsidRPr="0090693E" w:rsidRDefault="00450214" w:rsidP="0090693E">
      <w:pPr>
        <w:pStyle w:val="corte4fondo"/>
        <w:tabs>
          <w:tab w:val="left" w:pos="567"/>
        </w:tabs>
        <w:spacing w:line="276" w:lineRule="auto"/>
        <w:ind w:left="720" w:firstLine="0"/>
        <w:rPr>
          <w:rFonts w:cs="Arial"/>
          <w:color w:val="2E74B5" w:themeColor="accent1" w:themeShade="BF"/>
          <w:sz w:val="24"/>
          <w:szCs w:val="24"/>
        </w:rPr>
      </w:pPr>
    </w:p>
    <w:p w:rsidR="00450214" w:rsidRPr="0090693E" w:rsidRDefault="00AA26D2" w:rsidP="00C72EEA">
      <w:pPr>
        <w:spacing w:after="0"/>
        <w:ind w:firstLine="708"/>
        <w:jc w:val="both"/>
        <w:rPr>
          <w:rFonts w:ascii="Arial" w:eastAsia="Times New Roman" w:hAnsi="Arial" w:cs="Arial"/>
          <w:b/>
          <w:color w:val="2E74B5" w:themeColor="accent1" w:themeShade="BF"/>
          <w:sz w:val="24"/>
          <w:szCs w:val="24"/>
          <w:lang w:eastAsia="es-MX"/>
        </w:rPr>
      </w:pPr>
      <w:r w:rsidRPr="0090693E">
        <w:rPr>
          <w:rFonts w:ascii="Arial" w:eastAsia="Times New Roman" w:hAnsi="Arial" w:cs="Arial"/>
          <w:b/>
          <w:color w:val="2E74B5" w:themeColor="accent1" w:themeShade="BF"/>
          <w:sz w:val="24"/>
          <w:szCs w:val="24"/>
          <w:lang w:eastAsia="es-MX"/>
        </w:rPr>
        <w:t>6.</w:t>
      </w:r>
      <w:r w:rsidR="00BB321B">
        <w:rPr>
          <w:rFonts w:ascii="Arial" w:eastAsia="Times New Roman" w:hAnsi="Arial" w:cs="Arial"/>
          <w:b/>
          <w:color w:val="2E74B5" w:themeColor="accent1" w:themeShade="BF"/>
          <w:sz w:val="24"/>
          <w:szCs w:val="24"/>
          <w:lang w:eastAsia="es-MX"/>
        </w:rPr>
        <w:t>7</w:t>
      </w:r>
      <w:r w:rsidR="00450214" w:rsidRPr="0090693E">
        <w:rPr>
          <w:rFonts w:ascii="Arial" w:eastAsia="Times New Roman" w:hAnsi="Arial" w:cs="Arial"/>
          <w:b/>
          <w:color w:val="2E74B5" w:themeColor="accent1" w:themeShade="BF"/>
          <w:sz w:val="24"/>
          <w:szCs w:val="24"/>
          <w:lang w:eastAsia="es-MX"/>
        </w:rPr>
        <w:t>. Plazo de diez días hábiles para el cumplimento de esta resolución.</w:t>
      </w:r>
    </w:p>
    <w:p w:rsidR="00450214" w:rsidRPr="0090693E" w:rsidRDefault="00450214" w:rsidP="0090693E">
      <w:pPr>
        <w:spacing w:after="0"/>
        <w:jc w:val="both"/>
        <w:rPr>
          <w:rFonts w:ascii="Arial" w:eastAsia="Times New Roman" w:hAnsi="Arial" w:cs="Arial"/>
          <w:b/>
          <w:color w:val="2E74B5" w:themeColor="accent1" w:themeShade="BF"/>
          <w:sz w:val="24"/>
          <w:szCs w:val="24"/>
          <w:lang w:eastAsia="es-MX"/>
        </w:rPr>
      </w:pPr>
    </w:p>
    <w:p w:rsidR="00450214" w:rsidRPr="0090693E" w:rsidRDefault="00450214" w:rsidP="0090693E">
      <w:pPr>
        <w:spacing w:after="0"/>
        <w:ind w:firstLine="360"/>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450214" w:rsidRPr="0090693E" w:rsidRDefault="00450214" w:rsidP="0090693E">
      <w:pPr>
        <w:spacing w:after="0"/>
        <w:ind w:firstLine="360"/>
        <w:jc w:val="both"/>
        <w:rPr>
          <w:rFonts w:ascii="Arial" w:eastAsia="Times New Roman" w:hAnsi="Arial" w:cs="Arial"/>
          <w:color w:val="2E74B5" w:themeColor="accent1" w:themeShade="BF"/>
          <w:sz w:val="24"/>
          <w:szCs w:val="24"/>
          <w:lang w:eastAsia="es-MX"/>
        </w:rPr>
      </w:pPr>
    </w:p>
    <w:p w:rsidR="00450214" w:rsidRPr="0090693E" w:rsidRDefault="0045690D" w:rsidP="0090693E">
      <w:pPr>
        <w:spacing w:after="0"/>
        <w:ind w:firstLine="360"/>
        <w:jc w:val="both"/>
        <w:rPr>
          <w:rFonts w:ascii="Arial" w:eastAsia="Times New Roman" w:hAnsi="Arial" w:cs="Arial"/>
          <w:b/>
          <w:color w:val="2E74B5" w:themeColor="accent1" w:themeShade="BF"/>
          <w:sz w:val="24"/>
          <w:szCs w:val="24"/>
          <w:lang w:eastAsia="es-MX"/>
        </w:rPr>
      </w:pPr>
      <w:r w:rsidRPr="0090693E">
        <w:rPr>
          <w:rFonts w:ascii="Arial" w:eastAsia="Times New Roman" w:hAnsi="Arial" w:cs="Arial"/>
          <w:b/>
          <w:color w:val="2E74B5" w:themeColor="accent1" w:themeShade="BF"/>
          <w:sz w:val="24"/>
          <w:szCs w:val="24"/>
          <w:lang w:eastAsia="es-MX"/>
        </w:rPr>
        <w:t>6.</w:t>
      </w:r>
      <w:r w:rsidR="00BB321B">
        <w:rPr>
          <w:rFonts w:ascii="Arial" w:eastAsia="Times New Roman" w:hAnsi="Arial" w:cs="Arial"/>
          <w:b/>
          <w:color w:val="2E74B5" w:themeColor="accent1" w:themeShade="BF"/>
          <w:sz w:val="24"/>
          <w:szCs w:val="24"/>
          <w:lang w:eastAsia="es-MX"/>
        </w:rPr>
        <w:t>8</w:t>
      </w:r>
      <w:r w:rsidR="00450214" w:rsidRPr="0090693E">
        <w:rPr>
          <w:rFonts w:ascii="Arial" w:eastAsia="Times New Roman" w:hAnsi="Arial" w:cs="Arial"/>
          <w:b/>
          <w:color w:val="2E74B5" w:themeColor="accent1" w:themeShade="BF"/>
          <w:sz w:val="24"/>
          <w:szCs w:val="24"/>
          <w:lang w:eastAsia="es-MX"/>
        </w:rPr>
        <w:t>. Informe sobre el cumplimento a la resolución dentro del plazo de tres días hábiles.</w:t>
      </w:r>
    </w:p>
    <w:p w:rsidR="00450214" w:rsidRPr="0090693E" w:rsidRDefault="00450214" w:rsidP="0090693E">
      <w:pPr>
        <w:spacing w:after="0"/>
        <w:jc w:val="both"/>
        <w:rPr>
          <w:rFonts w:ascii="Arial" w:eastAsia="Times New Roman" w:hAnsi="Arial" w:cs="Arial"/>
          <w:b/>
          <w:color w:val="2E74B5" w:themeColor="accent1" w:themeShade="BF"/>
          <w:sz w:val="24"/>
          <w:szCs w:val="24"/>
          <w:lang w:eastAsia="es-MX"/>
        </w:rPr>
      </w:pPr>
    </w:p>
    <w:p w:rsidR="00450214" w:rsidRPr="0090693E" w:rsidRDefault="00450214" w:rsidP="0090693E">
      <w:pPr>
        <w:spacing w:after="0"/>
        <w:ind w:firstLine="708"/>
        <w:jc w:val="both"/>
        <w:rPr>
          <w:rFonts w:ascii="Arial" w:eastAsia="Times New Roman" w:hAnsi="Arial" w:cs="Arial"/>
          <w:color w:val="2E74B5" w:themeColor="accent1" w:themeShade="BF"/>
          <w:sz w:val="24"/>
          <w:szCs w:val="24"/>
          <w:lang w:eastAsia="es-MX"/>
        </w:rPr>
      </w:pPr>
      <w:r w:rsidRPr="0090693E">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450214" w:rsidRPr="0090693E" w:rsidRDefault="00450214" w:rsidP="0090693E">
      <w:pPr>
        <w:spacing w:after="0"/>
        <w:ind w:firstLine="708"/>
        <w:jc w:val="both"/>
        <w:rPr>
          <w:rFonts w:ascii="Arial" w:eastAsia="Times New Roman" w:hAnsi="Arial" w:cs="Arial"/>
          <w:color w:val="2E74B5" w:themeColor="accent1" w:themeShade="BF"/>
          <w:sz w:val="24"/>
          <w:szCs w:val="24"/>
          <w:lang w:eastAsia="es-MX"/>
        </w:rPr>
      </w:pPr>
    </w:p>
    <w:p w:rsidR="00450214" w:rsidRPr="0090693E" w:rsidRDefault="00450214" w:rsidP="00C72EEA">
      <w:pPr>
        <w:spacing w:after="0"/>
        <w:ind w:firstLine="708"/>
        <w:jc w:val="both"/>
        <w:rPr>
          <w:rFonts w:ascii="Arial" w:eastAsia="Times New Roman" w:hAnsi="Arial" w:cs="Arial"/>
          <w:b/>
          <w:color w:val="2E74B5" w:themeColor="accent1" w:themeShade="BF"/>
          <w:sz w:val="24"/>
          <w:szCs w:val="24"/>
          <w:lang w:eastAsia="es-MX"/>
        </w:rPr>
      </w:pPr>
      <w:r w:rsidRPr="0090693E">
        <w:rPr>
          <w:rFonts w:ascii="Arial" w:eastAsia="Times New Roman" w:hAnsi="Arial" w:cs="Arial"/>
          <w:b/>
          <w:color w:val="2E74B5" w:themeColor="accent1" w:themeShade="BF"/>
          <w:sz w:val="24"/>
          <w:szCs w:val="24"/>
          <w:lang w:eastAsia="es-MX"/>
        </w:rPr>
        <w:t xml:space="preserve"> </w:t>
      </w:r>
      <w:r w:rsidR="00AA26D2" w:rsidRPr="0090693E">
        <w:rPr>
          <w:rFonts w:ascii="Arial" w:eastAsia="Times New Roman" w:hAnsi="Arial" w:cs="Arial"/>
          <w:b/>
          <w:color w:val="2E74B5" w:themeColor="accent1" w:themeShade="BF"/>
          <w:sz w:val="24"/>
          <w:szCs w:val="24"/>
          <w:lang w:eastAsia="es-MX"/>
        </w:rPr>
        <w:t xml:space="preserve"> </w:t>
      </w:r>
      <w:r w:rsidR="00BB321B">
        <w:rPr>
          <w:rFonts w:ascii="Arial" w:eastAsia="Times New Roman" w:hAnsi="Arial" w:cs="Arial"/>
          <w:b/>
          <w:color w:val="2E74B5" w:themeColor="accent1" w:themeShade="BF"/>
          <w:sz w:val="24"/>
          <w:szCs w:val="24"/>
          <w:lang w:eastAsia="es-MX"/>
        </w:rPr>
        <w:t xml:space="preserve">6.9. </w:t>
      </w:r>
      <w:r w:rsidRPr="0090693E">
        <w:rPr>
          <w:rFonts w:ascii="Arial" w:eastAsia="Times New Roman" w:hAnsi="Arial" w:cs="Arial"/>
          <w:b/>
          <w:color w:val="2E74B5" w:themeColor="accent1" w:themeShade="BF"/>
          <w:sz w:val="24"/>
          <w:szCs w:val="24"/>
          <w:lang w:eastAsia="es-MX"/>
        </w:rPr>
        <w:t>Medida de apremio en caso de incumplimiento a la resolución.</w:t>
      </w:r>
    </w:p>
    <w:p w:rsidR="00450214" w:rsidRPr="0090693E" w:rsidRDefault="00450214" w:rsidP="0090693E">
      <w:pPr>
        <w:spacing w:after="0"/>
        <w:jc w:val="both"/>
        <w:rPr>
          <w:rFonts w:ascii="Arial" w:eastAsia="Times New Roman" w:hAnsi="Arial" w:cs="Arial"/>
          <w:b/>
          <w:color w:val="2E74B5" w:themeColor="accent1" w:themeShade="BF"/>
          <w:sz w:val="24"/>
          <w:szCs w:val="24"/>
          <w:lang w:eastAsia="es-MX"/>
        </w:rPr>
      </w:pP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bookmarkStart w:id="1" w:name="_GoBack"/>
      <w:bookmarkEnd w:id="1"/>
      <w:r w:rsidRPr="0090693E">
        <w:rPr>
          <w:rFonts w:cs="Arial"/>
          <w:color w:val="2E74B5" w:themeColor="accent1" w:themeShade="BF"/>
          <w:sz w:val="24"/>
          <w:szCs w:val="24"/>
        </w:rPr>
        <w:lastRenderedPageBreak/>
        <w:t xml:space="preserve">Esta Comisión Estatal de Garantía de Acceso a la Información Pública apercibe al sujeto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450214" w:rsidP="0090693E">
      <w:pPr>
        <w:pStyle w:val="corte4fondo"/>
        <w:tabs>
          <w:tab w:val="left" w:pos="567"/>
        </w:tabs>
        <w:spacing w:line="276" w:lineRule="auto"/>
        <w:jc w:val="center"/>
        <w:rPr>
          <w:rFonts w:cs="Arial"/>
          <w:color w:val="2E74B5" w:themeColor="accent1" w:themeShade="BF"/>
          <w:sz w:val="24"/>
          <w:szCs w:val="24"/>
        </w:rPr>
      </w:pPr>
      <w:r w:rsidRPr="0090693E">
        <w:rPr>
          <w:rFonts w:cs="Arial"/>
          <w:b/>
          <w:color w:val="2E74B5" w:themeColor="accent1" w:themeShade="BF"/>
          <w:sz w:val="24"/>
          <w:szCs w:val="24"/>
        </w:rPr>
        <w:t>RESOLUTIVO</w:t>
      </w: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r w:rsidRPr="0090693E">
        <w:rPr>
          <w:rFonts w:cs="Arial"/>
          <w:color w:val="2E74B5" w:themeColor="accent1" w:themeShade="BF"/>
          <w:sz w:val="24"/>
          <w:szCs w:val="24"/>
        </w:rPr>
        <w:t>Por lo expuesto y fundado, SE RESUELVE:</w:t>
      </w:r>
    </w:p>
    <w:p w:rsidR="00450214" w:rsidRPr="0090693E" w:rsidRDefault="00450214" w:rsidP="0090693E">
      <w:pPr>
        <w:pStyle w:val="corte4fondo"/>
        <w:spacing w:line="276" w:lineRule="auto"/>
        <w:rPr>
          <w:rFonts w:cs="Arial"/>
          <w:b/>
          <w:color w:val="2E74B5" w:themeColor="accent1" w:themeShade="BF"/>
          <w:sz w:val="24"/>
          <w:szCs w:val="24"/>
        </w:rPr>
      </w:pPr>
    </w:p>
    <w:p w:rsidR="00BB321B" w:rsidRPr="00BB321B" w:rsidRDefault="00450214" w:rsidP="00BB321B">
      <w:pPr>
        <w:pStyle w:val="corte4fondo"/>
        <w:spacing w:line="240" w:lineRule="auto"/>
        <w:rPr>
          <w:rFonts w:cs="Arial"/>
          <w:b/>
          <w:color w:val="4F81BD"/>
          <w:sz w:val="24"/>
          <w:szCs w:val="24"/>
        </w:rPr>
      </w:pPr>
      <w:r w:rsidRPr="00BB321B">
        <w:rPr>
          <w:rFonts w:cs="Arial"/>
          <w:b/>
          <w:color w:val="2E74B5" w:themeColor="accent1" w:themeShade="BF"/>
          <w:sz w:val="24"/>
          <w:szCs w:val="24"/>
        </w:rPr>
        <w:t xml:space="preserve">ÚNICO. </w:t>
      </w:r>
      <w:r w:rsidR="00BB321B" w:rsidRPr="00BB321B">
        <w:rPr>
          <w:rFonts w:cs="Arial"/>
          <w:color w:val="4F81BD"/>
          <w:sz w:val="24"/>
          <w:szCs w:val="24"/>
        </w:rPr>
        <w:t xml:space="preserve">Se </w:t>
      </w:r>
      <w:r w:rsidR="00BB321B" w:rsidRPr="00BB321B">
        <w:rPr>
          <w:rFonts w:cs="Arial"/>
          <w:b/>
          <w:color w:val="4F81BD"/>
          <w:sz w:val="24"/>
          <w:szCs w:val="24"/>
        </w:rPr>
        <w:t xml:space="preserve">Revoca </w:t>
      </w:r>
      <w:r w:rsidR="00BB321B" w:rsidRPr="00BB321B">
        <w:rPr>
          <w:rFonts w:cs="Arial"/>
          <w:color w:val="4F81BD"/>
          <w:sz w:val="24"/>
          <w:szCs w:val="24"/>
        </w:rPr>
        <w:t xml:space="preserve">la respuesta del sujeto obligado por las razones y fundamentos expuestos en el considerando </w:t>
      </w:r>
      <w:r w:rsidR="00BB321B">
        <w:rPr>
          <w:rFonts w:cs="Arial"/>
          <w:color w:val="4F81BD"/>
          <w:sz w:val="24"/>
          <w:szCs w:val="24"/>
        </w:rPr>
        <w:t>sexto</w:t>
      </w:r>
      <w:r w:rsidR="00BB321B" w:rsidRPr="00BB321B">
        <w:rPr>
          <w:rFonts w:cs="Arial"/>
          <w:color w:val="4F81BD"/>
          <w:sz w:val="24"/>
          <w:szCs w:val="24"/>
        </w:rPr>
        <w:t xml:space="preserve"> de la presente resolución</w:t>
      </w:r>
    </w:p>
    <w:p w:rsidR="00450214" w:rsidRPr="0090693E" w:rsidRDefault="00450214" w:rsidP="0090693E">
      <w:pPr>
        <w:pStyle w:val="corte4fondo"/>
        <w:spacing w:line="276" w:lineRule="auto"/>
        <w:rPr>
          <w:rFonts w:cs="Arial"/>
          <w:color w:val="2E74B5" w:themeColor="accent1" w:themeShade="BF"/>
          <w:sz w:val="24"/>
          <w:szCs w:val="24"/>
        </w:rPr>
      </w:pP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r w:rsidRPr="0090693E">
        <w:rPr>
          <w:rFonts w:cs="Arial"/>
          <w:b/>
          <w:color w:val="2E74B5" w:themeColor="accent1" w:themeShade="BF"/>
          <w:sz w:val="24"/>
          <w:szCs w:val="24"/>
        </w:rPr>
        <w:t xml:space="preserve">Notifíquese; </w:t>
      </w:r>
      <w:r w:rsidRPr="0090693E">
        <w:rPr>
          <w:rFonts w:cs="Arial"/>
          <w:color w:val="2E74B5" w:themeColor="accent1" w:themeShade="BF"/>
          <w:sz w:val="24"/>
          <w:szCs w:val="24"/>
        </w:rPr>
        <w:t>por oficio a las autoridades</w:t>
      </w:r>
      <w:r w:rsidRPr="0090693E">
        <w:rPr>
          <w:rFonts w:cs="Arial"/>
          <w:b/>
          <w:color w:val="2E74B5" w:themeColor="accent1" w:themeShade="BF"/>
          <w:sz w:val="24"/>
          <w:szCs w:val="24"/>
        </w:rPr>
        <w:t xml:space="preserve"> </w:t>
      </w:r>
      <w:r w:rsidRPr="0090693E">
        <w:rPr>
          <w:rFonts w:cs="Arial"/>
          <w:color w:val="2E74B5" w:themeColor="accent1" w:themeShade="BF"/>
          <w:sz w:val="24"/>
          <w:szCs w:val="24"/>
        </w:rPr>
        <w:t>y a la recurrente por el medio que designó.</w:t>
      </w: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450214" w:rsidP="0090693E">
      <w:pPr>
        <w:pStyle w:val="corte4fondo"/>
        <w:tabs>
          <w:tab w:val="left" w:pos="567"/>
        </w:tabs>
        <w:spacing w:line="276" w:lineRule="auto"/>
        <w:rPr>
          <w:rFonts w:eastAsia="Arial Unicode MS" w:cs="Arial"/>
          <w:color w:val="2E74B5" w:themeColor="accent1" w:themeShade="BF"/>
          <w:sz w:val="24"/>
          <w:szCs w:val="24"/>
        </w:rPr>
      </w:pPr>
      <w:r w:rsidRPr="0090693E">
        <w:rPr>
          <w:rFonts w:cs="Arial"/>
          <w:color w:val="2E74B5" w:themeColor="accent1" w:themeShade="BF"/>
          <w:sz w:val="24"/>
          <w:szCs w:val="24"/>
        </w:rPr>
        <w:t xml:space="preserve">Así, por unanimidad de votos lo resolvió la Comisión Estatal de Garantía de Acceso a la Información Pública, integrada por los 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Pr="0090693E">
        <w:rPr>
          <w:rFonts w:eastAsia="Arial Unicode MS" w:cs="Arial"/>
          <w:color w:val="2E74B5" w:themeColor="accent1" w:themeShade="BF"/>
          <w:sz w:val="24"/>
          <w:szCs w:val="24"/>
        </w:rPr>
        <w:t xml:space="preserve">   </w:t>
      </w:r>
    </w:p>
    <w:p w:rsidR="00450214" w:rsidRPr="0090693E" w:rsidRDefault="00450214" w:rsidP="0090693E">
      <w:pPr>
        <w:pStyle w:val="corte4fondo"/>
        <w:tabs>
          <w:tab w:val="left" w:pos="567"/>
        </w:tabs>
        <w:spacing w:line="276" w:lineRule="auto"/>
        <w:rPr>
          <w:rFonts w:cs="Arial"/>
          <w:color w:val="2E74B5" w:themeColor="accent1" w:themeShade="BF"/>
          <w:sz w:val="24"/>
          <w:szCs w:val="24"/>
        </w:rPr>
      </w:pPr>
    </w:p>
    <w:p w:rsidR="00450214" w:rsidRPr="0090693E" w:rsidRDefault="00450214" w:rsidP="0090693E">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450214" w:rsidRPr="0090693E" w:rsidTr="004B3896">
        <w:trPr>
          <w:trHeight w:val="2654"/>
          <w:jc w:val="center"/>
        </w:trPr>
        <w:tc>
          <w:tcPr>
            <w:tcW w:w="4706" w:type="dxa"/>
            <w:gridSpan w:val="2"/>
          </w:tcPr>
          <w:p w:rsidR="00450214" w:rsidRPr="0090693E" w:rsidRDefault="00450214" w:rsidP="0090693E">
            <w:pPr>
              <w:spacing w:after="0"/>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        COMISIONADA </w:t>
            </w: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tabs>
                <w:tab w:val="left" w:pos="1358"/>
              </w:tabs>
              <w:spacing w:after="0"/>
              <w:ind w:firstLine="36"/>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MARIAJOSÉ </w:t>
            </w:r>
          </w:p>
          <w:p w:rsidR="00450214" w:rsidRPr="0090693E" w:rsidRDefault="00450214" w:rsidP="0090693E">
            <w:pPr>
              <w:spacing w:after="0"/>
              <w:ind w:left="360" w:firstLine="36"/>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GONZÁLEZ ZARZOSA </w:t>
            </w: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                   </w:t>
            </w:r>
          </w:p>
          <w:p w:rsidR="00450214" w:rsidRPr="0090693E" w:rsidRDefault="00450214" w:rsidP="0090693E">
            <w:pPr>
              <w:spacing w:after="0"/>
              <w:rPr>
                <w:rFonts w:ascii="Arial" w:eastAsia="Arial Unicode MS" w:hAnsi="Arial" w:cs="Arial"/>
                <w:b/>
                <w:color w:val="2E74B5" w:themeColor="accent1" w:themeShade="BF"/>
                <w:sz w:val="24"/>
                <w:szCs w:val="24"/>
              </w:rPr>
            </w:pPr>
          </w:p>
        </w:tc>
        <w:tc>
          <w:tcPr>
            <w:tcW w:w="5194" w:type="dxa"/>
            <w:gridSpan w:val="2"/>
          </w:tcPr>
          <w:p w:rsidR="00450214" w:rsidRPr="0090693E" w:rsidRDefault="00450214" w:rsidP="0090693E">
            <w:pPr>
              <w:spacing w:after="0"/>
              <w:ind w:left="360" w:firstLine="708"/>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              COMISIONADO </w:t>
            </w: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                     MTRO. ALEJANDRO </w:t>
            </w:r>
          </w:p>
          <w:p w:rsidR="00450214" w:rsidRPr="0090693E" w:rsidRDefault="00450214" w:rsidP="0090693E">
            <w:pPr>
              <w:pStyle w:val="corte4fondo"/>
              <w:tabs>
                <w:tab w:val="left" w:pos="567"/>
              </w:tabs>
              <w:spacing w:line="276" w:lineRule="auto"/>
              <w:ind w:firstLine="0"/>
              <w:rPr>
                <w:rFonts w:cs="Arial"/>
                <w:i/>
                <w:color w:val="2E74B5" w:themeColor="accent1" w:themeShade="BF"/>
                <w:sz w:val="24"/>
                <w:szCs w:val="24"/>
              </w:rPr>
            </w:pPr>
            <w:r w:rsidRPr="0090693E">
              <w:rPr>
                <w:rFonts w:eastAsia="Arial Unicode MS" w:cs="Arial"/>
                <w:b/>
                <w:color w:val="2E74B5" w:themeColor="accent1" w:themeShade="BF"/>
                <w:sz w:val="24"/>
                <w:szCs w:val="24"/>
              </w:rPr>
              <w:t xml:space="preserve">                    LAFUENTE TORRES</w:t>
            </w: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pStyle w:val="corte4fondo"/>
              <w:tabs>
                <w:tab w:val="left" w:pos="567"/>
              </w:tabs>
              <w:spacing w:line="276" w:lineRule="auto"/>
              <w:ind w:firstLine="0"/>
              <w:rPr>
                <w:rFonts w:eastAsia="Arial Unicode MS" w:cs="Arial"/>
                <w:b/>
                <w:color w:val="2E74B5" w:themeColor="accent1" w:themeShade="BF"/>
                <w:sz w:val="24"/>
                <w:szCs w:val="24"/>
              </w:rPr>
            </w:pPr>
          </w:p>
        </w:tc>
      </w:tr>
      <w:tr w:rsidR="0090693E" w:rsidRPr="0090693E" w:rsidTr="004B3896">
        <w:trPr>
          <w:trHeight w:val="2085"/>
          <w:jc w:val="center"/>
        </w:trPr>
        <w:tc>
          <w:tcPr>
            <w:tcW w:w="4552" w:type="dxa"/>
          </w:tcPr>
          <w:p w:rsidR="00450214" w:rsidRPr="0090693E" w:rsidRDefault="00450214" w:rsidP="0090693E">
            <w:pPr>
              <w:spacing w:after="0"/>
              <w:ind w:left="360" w:hanging="360"/>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COMISIONADA PRESIDENTE</w:t>
            </w:r>
          </w:p>
          <w:p w:rsidR="00450214" w:rsidRPr="0090693E" w:rsidRDefault="00450214" w:rsidP="0090693E">
            <w:pPr>
              <w:spacing w:after="0"/>
              <w:ind w:left="360"/>
              <w:rPr>
                <w:rFonts w:ascii="Arial" w:eastAsia="Arial Unicode MS" w:hAnsi="Arial" w:cs="Arial"/>
                <w:b/>
                <w:color w:val="2E74B5" w:themeColor="accent1" w:themeShade="BF"/>
                <w:sz w:val="24"/>
                <w:szCs w:val="24"/>
              </w:rPr>
            </w:pPr>
          </w:p>
          <w:p w:rsidR="00450214" w:rsidRPr="0090693E" w:rsidRDefault="00450214" w:rsidP="0090693E">
            <w:pPr>
              <w:spacing w:after="0"/>
              <w:ind w:left="360"/>
              <w:rPr>
                <w:rFonts w:ascii="Arial" w:eastAsia="Arial Unicode MS" w:hAnsi="Arial" w:cs="Arial"/>
                <w:b/>
                <w:color w:val="2E74B5" w:themeColor="accent1" w:themeShade="BF"/>
                <w:sz w:val="24"/>
                <w:szCs w:val="24"/>
              </w:rPr>
            </w:pPr>
          </w:p>
          <w:p w:rsidR="00450214" w:rsidRPr="0090693E" w:rsidRDefault="00450214" w:rsidP="0090693E">
            <w:pPr>
              <w:spacing w:after="0"/>
              <w:ind w:left="360"/>
              <w:rPr>
                <w:rFonts w:ascii="Arial" w:eastAsia="Arial Unicode MS" w:hAnsi="Arial" w:cs="Arial"/>
                <w:b/>
                <w:color w:val="2E74B5" w:themeColor="accent1" w:themeShade="BF"/>
                <w:sz w:val="24"/>
                <w:szCs w:val="24"/>
              </w:rPr>
            </w:pPr>
          </w:p>
          <w:p w:rsidR="00450214" w:rsidRPr="0090693E" w:rsidRDefault="00450214" w:rsidP="0090693E">
            <w:pPr>
              <w:spacing w:after="0"/>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LIC. PAULINA SÁNCHEZ </w:t>
            </w:r>
          </w:p>
          <w:p w:rsidR="00450214" w:rsidRPr="0090693E" w:rsidRDefault="00450214" w:rsidP="0090693E">
            <w:pPr>
              <w:spacing w:after="0"/>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PÉREZ DEL POZO</w:t>
            </w:r>
          </w:p>
          <w:p w:rsidR="00450214" w:rsidRPr="0090693E" w:rsidRDefault="00450214" w:rsidP="0090693E">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450214" w:rsidRPr="0090693E" w:rsidRDefault="00450214" w:rsidP="0090693E">
            <w:pPr>
              <w:spacing w:after="0"/>
              <w:ind w:left="360" w:firstLine="708"/>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SECRETARIA DE PLENO</w:t>
            </w: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ind w:left="360" w:firstLine="708"/>
              <w:jc w:val="center"/>
              <w:rPr>
                <w:rFonts w:ascii="Arial" w:eastAsia="Arial Unicode MS" w:hAnsi="Arial" w:cs="Arial"/>
                <w:b/>
                <w:color w:val="2E74B5" w:themeColor="accent1" w:themeShade="BF"/>
                <w:sz w:val="24"/>
                <w:szCs w:val="24"/>
              </w:rPr>
            </w:pPr>
          </w:p>
          <w:p w:rsidR="00450214" w:rsidRPr="0090693E" w:rsidRDefault="00450214" w:rsidP="0090693E">
            <w:pPr>
              <w:spacing w:after="0"/>
              <w:ind w:left="360" w:hanging="360"/>
              <w:jc w:val="center"/>
              <w:rPr>
                <w:rFonts w:ascii="Arial" w:eastAsia="Arial Unicode MS" w:hAnsi="Arial" w:cs="Arial"/>
                <w:b/>
                <w:color w:val="2E74B5" w:themeColor="accent1" w:themeShade="BF"/>
                <w:sz w:val="24"/>
                <w:szCs w:val="24"/>
              </w:rPr>
            </w:pPr>
            <w:r w:rsidRPr="0090693E">
              <w:rPr>
                <w:rFonts w:ascii="Arial" w:eastAsia="Arial Unicode MS" w:hAnsi="Arial" w:cs="Arial"/>
                <w:b/>
                <w:color w:val="2E74B5" w:themeColor="accent1" w:themeShade="BF"/>
                <w:sz w:val="24"/>
                <w:szCs w:val="24"/>
              </w:rPr>
              <w:t xml:space="preserve">LIC. ROSA MARÍA MOTILLA GARCÍA </w:t>
            </w:r>
          </w:p>
        </w:tc>
      </w:tr>
    </w:tbl>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450214" w:rsidRPr="0090693E" w:rsidRDefault="0090693E" w:rsidP="0090693E">
      <w:pPr>
        <w:pStyle w:val="corte4fondo"/>
        <w:tabs>
          <w:tab w:val="left" w:pos="567"/>
        </w:tabs>
        <w:spacing w:line="276" w:lineRule="auto"/>
        <w:ind w:firstLine="0"/>
        <w:rPr>
          <w:rFonts w:cs="Arial"/>
          <w:color w:val="2E74B5" w:themeColor="accent1" w:themeShade="BF"/>
          <w:sz w:val="10"/>
          <w:szCs w:val="10"/>
        </w:rPr>
      </w:pPr>
      <w:r w:rsidRPr="0090693E">
        <w:rPr>
          <w:rFonts w:cs="Arial"/>
          <w:color w:val="2E74B5" w:themeColor="accent1" w:themeShade="BF"/>
          <w:sz w:val="10"/>
          <w:szCs w:val="10"/>
        </w:rPr>
        <w:t>*ESTAS FIRMAS PERTENECEN A LA RESOLUCIÓN DE LA REVISIÓN 884/2018-2 QUE FUE INTERPUESTO CONTRA EL SUPREMO TRIBUNAL DE JUSTICIA DEL ESTADO POR CONDUCTO DEL CONSEJO DE LA JUDICATURA DEL PODER JUDICIAL DEL ESTADO DE SAN LUIS POTOSÍ Y QUE FUE APROBADA EN LA SESIÓN EXTRAORDINARIA DEL</w:t>
      </w:r>
      <w:r w:rsidR="00C72EEA">
        <w:rPr>
          <w:rFonts w:cs="Arial"/>
          <w:color w:val="2E74B5" w:themeColor="accent1" w:themeShade="BF"/>
          <w:sz w:val="10"/>
          <w:szCs w:val="10"/>
        </w:rPr>
        <w:t xml:space="preserve"> </w:t>
      </w:r>
      <w:r w:rsidRPr="0090693E">
        <w:rPr>
          <w:rFonts w:cs="Arial"/>
          <w:color w:val="2E74B5" w:themeColor="accent1" w:themeShade="BF"/>
          <w:sz w:val="10"/>
          <w:szCs w:val="10"/>
        </w:rPr>
        <w:t xml:space="preserve">17 DIECISIETE DE DICIEMBRE DE 2018 DOS MIL DIECIOCHO.                               </w:t>
      </w:r>
    </w:p>
    <w:p w:rsidR="00450214" w:rsidRPr="0090693E" w:rsidRDefault="00450214"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450214" w:rsidP="0090693E">
      <w:pPr>
        <w:pStyle w:val="corte4fondo"/>
        <w:tabs>
          <w:tab w:val="left" w:pos="567"/>
        </w:tabs>
        <w:spacing w:line="276" w:lineRule="auto"/>
        <w:ind w:firstLine="0"/>
        <w:rPr>
          <w:rFonts w:cs="Arial"/>
          <w:color w:val="2E74B5" w:themeColor="accent1" w:themeShade="BF"/>
          <w:sz w:val="10"/>
          <w:szCs w:val="10"/>
        </w:rPr>
      </w:pPr>
      <w:r w:rsidRPr="0090693E">
        <w:rPr>
          <w:rFonts w:cs="Arial"/>
          <w:color w:val="2E74B5" w:themeColor="accent1" w:themeShade="BF"/>
          <w:sz w:val="10"/>
          <w:szCs w:val="10"/>
        </w:rPr>
        <w:t xml:space="preserve"> </w:t>
      </w: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AD5FC9" w:rsidRPr="0090693E" w:rsidRDefault="00AD5FC9" w:rsidP="0090693E">
      <w:pPr>
        <w:pStyle w:val="corte4fondo"/>
        <w:tabs>
          <w:tab w:val="left" w:pos="567"/>
        </w:tabs>
        <w:spacing w:line="276" w:lineRule="auto"/>
        <w:ind w:firstLine="0"/>
        <w:rPr>
          <w:rFonts w:cs="Arial"/>
          <w:color w:val="2E74B5" w:themeColor="accent1" w:themeShade="BF"/>
          <w:sz w:val="10"/>
          <w:szCs w:val="10"/>
        </w:rPr>
      </w:pPr>
    </w:p>
    <w:p w:rsidR="00995B21" w:rsidRPr="0090693E" w:rsidRDefault="00450214" w:rsidP="0090693E">
      <w:pPr>
        <w:pStyle w:val="corte4fondo"/>
        <w:tabs>
          <w:tab w:val="left" w:pos="567"/>
        </w:tabs>
        <w:spacing w:line="276" w:lineRule="auto"/>
        <w:ind w:firstLine="0"/>
        <w:rPr>
          <w:rFonts w:cs="Arial"/>
          <w:color w:val="2E74B5" w:themeColor="accent1" w:themeShade="BF"/>
        </w:rPr>
      </w:pPr>
      <w:r w:rsidRPr="0090693E">
        <w:rPr>
          <w:rFonts w:cs="Arial"/>
          <w:i/>
          <w:color w:val="2E74B5" w:themeColor="accent1" w:themeShade="BF"/>
          <w:sz w:val="10"/>
          <w:szCs w:val="10"/>
        </w:rPr>
        <w:t xml:space="preserve">L/MEMH </w:t>
      </w:r>
    </w:p>
    <w:sectPr w:rsidR="00995B21" w:rsidRPr="0090693E" w:rsidSect="0090693E">
      <w:headerReference w:type="default" r:id="rId12"/>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383" w:rsidRDefault="00951383" w:rsidP="00450214">
      <w:pPr>
        <w:spacing w:after="0" w:line="240" w:lineRule="auto"/>
      </w:pPr>
      <w:r>
        <w:separator/>
      </w:r>
    </w:p>
  </w:endnote>
  <w:endnote w:type="continuationSeparator" w:id="0">
    <w:p w:rsidR="00951383" w:rsidRDefault="00951383" w:rsidP="00450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383" w:rsidRDefault="00951383" w:rsidP="00450214">
      <w:pPr>
        <w:spacing w:after="0" w:line="240" w:lineRule="auto"/>
      </w:pPr>
      <w:r>
        <w:separator/>
      </w:r>
    </w:p>
  </w:footnote>
  <w:footnote w:type="continuationSeparator" w:id="0">
    <w:p w:rsidR="00951383" w:rsidRDefault="00951383" w:rsidP="00450214">
      <w:pPr>
        <w:spacing w:after="0" w:line="240" w:lineRule="auto"/>
      </w:pPr>
      <w:r>
        <w:continuationSeparator/>
      </w:r>
    </w:p>
  </w:footnote>
  <w:footnote w:id="1">
    <w:p w:rsidR="002023AA" w:rsidRPr="00DA1577" w:rsidRDefault="002023AA" w:rsidP="00450214">
      <w:pPr>
        <w:pStyle w:val="Textonotapie"/>
        <w:jc w:val="both"/>
        <w:rPr>
          <w:rFonts w:ascii="Arial" w:hAnsi="Arial" w:cs="Arial"/>
          <w:sz w:val="16"/>
          <w:szCs w:val="16"/>
        </w:rPr>
      </w:pPr>
      <w:r w:rsidRPr="008F6BAA">
        <w:rPr>
          <w:rStyle w:val="Refdenotaalpie"/>
          <w:rFonts w:ascii="Arial" w:hAnsi="Arial" w:cs="Arial"/>
          <w:color w:val="2E74B5" w:themeColor="accent1" w:themeShade="BF"/>
          <w:sz w:val="16"/>
          <w:szCs w:val="16"/>
        </w:rPr>
        <w:footnoteRef/>
      </w:r>
      <w:r w:rsidR="00174BE8">
        <w:rPr>
          <w:rFonts w:ascii="Arial" w:hAnsi="Arial" w:cs="Arial"/>
          <w:color w:val="2E74B5" w:themeColor="accent1" w:themeShade="BF"/>
          <w:sz w:val="16"/>
          <w:szCs w:val="16"/>
        </w:rPr>
        <w:t xml:space="preserve"> Visible en </w:t>
      </w:r>
      <w:r w:rsidRPr="008F6BAA">
        <w:rPr>
          <w:rFonts w:ascii="Arial" w:hAnsi="Arial" w:cs="Arial"/>
          <w:color w:val="2E74B5" w:themeColor="accent1" w:themeShade="BF"/>
          <w:sz w:val="16"/>
          <w:szCs w:val="16"/>
        </w:rPr>
        <w:t>a foja</w:t>
      </w:r>
      <w:r w:rsidR="00174BE8">
        <w:rPr>
          <w:rFonts w:ascii="Arial" w:hAnsi="Arial" w:cs="Arial"/>
          <w:color w:val="2E74B5" w:themeColor="accent1" w:themeShade="BF"/>
          <w:sz w:val="16"/>
          <w:szCs w:val="16"/>
        </w:rPr>
        <w:t xml:space="preserve"> 1 y</w:t>
      </w:r>
      <w:r w:rsidRPr="008F6BAA">
        <w:rPr>
          <w:rFonts w:ascii="Arial" w:hAnsi="Arial" w:cs="Arial"/>
          <w:color w:val="2E74B5" w:themeColor="accent1" w:themeShade="BF"/>
          <w:sz w:val="16"/>
          <w:szCs w:val="16"/>
        </w:rPr>
        <w:t xml:space="preserve"> </w:t>
      </w:r>
      <w:r>
        <w:rPr>
          <w:rFonts w:ascii="Arial" w:hAnsi="Arial" w:cs="Arial"/>
          <w:color w:val="2E74B5" w:themeColor="accent1" w:themeShade="BF"/>
          <w:sz w:val="16"/>
          <w:szCs w:val="16"/>
        </w:rPr>
        <w:t>2</w:t>
      </w:r>
      <w:r w:rsidRPr="008F6BAA">
        <w:rPr>
          <w:rFonts w:ascii="Arial" w:hAnsi="Arial" w:cs="Arial"/>
          <w:color w:val="2E74B5" w:themeColor="accent1" w:themeShade="BF"/>
          <w:sz w:val="16"/>
          <w:szCs w:val="16"/>
        </w:rPr>
        <w:t xml:space="preserve"> de autos. </w:t>
      </w:r>
    </w:p>
  </w:footnote>
  <w:footnote w:id="2">
    <w:p w:rsidR="002023AA" w:rsidRPr="00A2402C" w:rsidRDefault="002023AA" w:rsidP="008A7335">
      <w:pPr>
        <w:pStyle w:val="Textonotapie"/>
        <w:jc w:val="both"/>
        <w:rPr>
          <w:rFonts w:ascii="Arial" w:hAnsi="Arial" w:cs="Arial"/>
          <w:color w:val="2E74B5" w:themeColor="accent1" w:themeShade="BF"/>
          <w:sz w:val="16"/>
          <w:szCs w:val="16"/>
        </w:rPr>
      </w:pPr>
      <w:r w:rsidRPr="00A2402C">
        <w:rPr>
          <w:rStyle w:val="Refdenotaalpie"/>
          <w:rFonts w:cs="Arial"/>
          <w:color w:val="2E74B5" w:themeColor="accent1" w:themeShade="BF"/>
          <w:sz w:val="16"/>
          <w:szCs w:val="16"/>
        </w:rPr>
        <w:footnoteRef/>
      </w:r>
      <w:r w:rsidRPr="00A2402C">
        <w:rPr>
          <w:rFonts w:ascii="Arial" w:hAnsi="Arial" w:cs="Arial"/>
          <w:color w:val="2E74B5" w:themeColor="accent1" w:themeShade="BF"/>
          <w:sz w:val="16"/>
          <w:szCs w:val="16"/>
        </w:rPr>
        <w:t xml:space="preserve"> Visible en la foja </w:t>
      </w:r>
      <w:r>
        <w:rPr>
          <w:rFonts w:ascii="Arial" w:hAnsi="Arial" w:cs="Arial"/>
          <w:color w:val="2E74B5" w:themeColor="accent1" w:themeShade="BF"/>
          <w:sz w:val="16"/>
          <w:szCs w:val="16"/>
        </w:rPr>
        <w:t>11</w:t>
      </w:r>
      <w:r w:rsidRPr="00A2402C">
        <w:rPr>
          <w:rFonts w:ascii="Arial" w:hAnsi="Arial" w:cs="Arial"/>
          <w:color w:val="2E74B5" w:themeColor="accent1" w:themeShade="BF"/>
          <w:sz w:val="16"/>
          <w:szCs w:val="16"/>
        </w:rPr>
        <w:t xml:space="preserve"> de autos. </w:t>
      </w:r>
    </w:p>
  </w:footnote>
  <w:footnote w:id="3">
    <w:p w:rsidR="002023AA" w:rsidRDefault="002023AA" w:rsidP="00450214">
      <w:pPr>
        <w:pStyle w:val="Textonotapie"/>
      </w:pPr>
      <w:r w:rsidRPr="00FF6721">
        <w:rPr>
          <w:rStyle w:val="Refdenotaalpie"/>
          <w:color w:val="2E74B5" w:themeColor="accent1" w:themeShade="BF"/>
        </w:rPr>
        <w:footnoteRef/>
      </w:r>
      <w:r w:rsidRPr="00FF6721">
        <w:rPr>
          <w:color w:val="2E74B5" w:themeColor="accent1" w:themeShade="BF"/>
        </w:rPr>
        <w:t xml:space="preserve"> </w:t>
      </w:r>
      <w:r w:rsidRPr="00FF6721">
        <w:rPr>
          <w:rFonts w:ascii="Arial" w:hAnsi="Arial" w:cs="Arial"/>
          <w:color w:val="2E74B5" w:themeColor="accent1" w:themeShade="BF"/>
          <w:sz w:val="16"/>
          <w:szCs w:val="16"/>
        </w:rPr>
        <w:t xml:space="preserve">Visible </w:t>
      </w:r>
      <w:r>
        <w:rPr>
          <w:rFonts w:ascii="Arial" w:hAnsi="Arial" w:cs="Arial"/>
          <w:color w:val="2E74B5" w:themeColor="accent1" w:themeShade="BF"/>
          <w:sz w:val="16"/>
          <w:szCs w:val="16"/>
        </w:rPr>
        <w:t>de l</w:t>
      </w:r>
      <w:r w:rsidRPr="00FF6721">
        <w:rPr>
          <w:rFonts w:ascii="Arial" w:hAnsi="Arial" w:cs="Arial"/>
          <w:color w:val="2E74B5" w:themeColor="accent1" w:themeShade="BF"/>
          <w:sz w:val="16"/>
          <w:szCs w:val="16"/>
        </w:rPr>
        <w:t xml:space="preserve">a foja </w:t>
      </w:r>
      <w:r>
        <w:rPr>
          <w:rFonts w:ascii="Arial" w:hAnsi="Arial" w:cs="Arial"/>
          <w:color w:val="2E74B5" w:themeColor="accent1" w:themeShade="BF"/>
          <w:sz w:val="16"/>
          <w:szCs w:val="16"/>
        </w:rPr>
        <w:t>5 a 10 de autos</w:t>
      </w:r>
      <w:r w:rsidRPr="00FF6721">
        <w:rPr>
          <w:rFonts w:ascii="Arial" w:hAnsi="Arial" w:cs="Arial"/>
          <w:color w:val="2E74B5" w:themeColor="accent1" w:themeShade="BF"/>
          <w:sz w:val="16"/>
          <w:szCs w:val="16"/>
        </w:rPr>
        <w:t xml:space="preserve"> de autos. </w:t>
      </w:r>
    </w:p>
  </w:footnote>
  <w:footnote w:id="4">
    <w:p w:rsidR="002023AA" w:rsidRPr="0008101C" w:rsidRDefault="002023AA" w:rsidP="0008101C">
      <w:pPr>
        <w:pStyle w:val="corte4fondo"/>
        <w:spacing w:line="276" w:lineRule="auto"/>
        <w:ind w:firstLine="0"/>
        <w:rPr>
          <w:color w:val="2E74B5" w:themeColor="accent1" w:themeShade="BF"/>
          <w:sz w:val="16"/>
          <w:szCs w:val="16"/>
        </w:rPr>
      </w:pPr>
      <w:r w:rsidRPr="0008101C">
        <w:rPr>
          <w:rStyle w:val="Refdenotaalpie"/>
          <w:color w:val="2E74B5" w:themeColor="accent1" w:themeShade="BF"/>
          <w:sz w:val="16"/>
          <w:szCs w:val="16"/>
        </w:rPr>
        <w:footnoteRef/>
      </w:r>
      <w:r w:rsidRPr="0008101C">
        <w:rPr>
          <w:color w:val="2E74B5" w:themeColor="accent1" w:themeShade="BF"/>
          <w:sz w:val="16"/>
          <w:szCs w:val="16"/>
        </w:rPr>
        <w:t xml:space="preserve"> </w:t>
      </w:r>
      <w:r w:rsidRPr="0008101C">
        <w:rPr>
          <w:b/>
          <w:bCs/>
          <w:color w:val="2E74B5" w:themeColor="accent1" w:themeShade="BF"/>
          <w:sz w:val="16"/>
          <w:szCs w:val="16"/>
        </w:rPr>
        <w:t xml:space="preserve">ARTICULO 164. </w:t>
      </w:r>
      <w:r w:rsidRPr="0008101C">
        <w:rPr>
          <w:color w:val="2E74B5" w:themeColor="accent1" w:themeShade="BF"/>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2023AA" w:rsidRPr="0008101C" w:rsidRDefault="002023AA" w:rsidP="0008101C">
      <w:pPr>
        <w:pStyle w:val="corte4fondo"/>
        <w:spacing w:line="276" w:lineRule="auto"/>
        <w:ind w:firstLine="0"/>
        <w:rPr>
          <w:rFonts w:cs="Arial"/>
          <w:color w:val="2E74B5" w:themeColor="accent1" w:themeShade="BF"/>
          <w:sz w:val="16"/>
          <w:szCs w:val="16"/>
        </w:rPr>
      </w:pPr>
      <w:r w:rsidRPr="0008101C">
        <w:rPr>
          <w:rFonts w:cs="Arial"/>
          <w:b/>
          <w:color w:val="2E74B5" w:themeColor="accent1" w:themeShade="BF"/>
          <w:sz w:val="16"/>
          <w:szCs w:val="16"/>
        </w:rPr>
        <w:t>ARTÍCULO 165</w:t>
      </w:r>
      <w:r w:rsidRPr="0008101C">
        <w:rPr>
          <w:rFonts w:cs="Arial"/>
          <w:color w:val="2E74B5" w:themeColor="accent1" w:themeShade="BF"/>
          <w:sz w:val="16"/>
          <w:szCs w:val="16"/>
        </w:rPr>
        <w:t xml:space="preserve">. En caso de existir costos para obtener la información, deberán cubrirse de manera previa a la entrega y no podrán ser superiores a la suma de: </w:t>
      </w:r>
      <w:r w:rsidRPr="0008101C">
        <w:rPr>
          <w:rFonts w:cs="Arial"/>
          <w:b/>
          <w:color w:val="2E74B5" w:themeColor="accent1" w:themeShade="BF"/>
          <w:sz w:val="16"/>
          <w:szCs w:val="16"/>
        </w:rPr>
        <w:t>I.</w:t>
      </w:r>
      <w:r w:rsidRPr="0008101C">
        <w:rPr>
          <w:rFonts w:cs="Arial"/>
          <w:color w:val="2E74B5" w:themeColor="accent1" w:themeShade="BF"/>
          <w:sz w:val="16"/>
          <w:szCs w:val="16"/>
        </w:rPr>
        <w:t xml:space="preserve"> El costo de los materiales utilizados en la reproducción de la información; </w:t>
      </w:r>
      <w:r w:rsidRPr="0008101C">
        <w:rPr>
          <w:rFonts w:cs="Arial"/>
          <w:b/>
          <w:color w:val="2E74B5" w:themeColor="accent1" w:themeShade="BF"/>
          <w:sz w:val="16"/>
          <w:szCs w:val="16"/>
        </w:rPr>
        <w:t>II.</w:t>
      </w:r>
      <w:r w:rsidRPr="0008101C">
        <w:rPr>
          <w:rFonts w:cs="Arial"/>
          <w:color w:val="2E74B5" w:themeColor="accent1" w:themeShade="BF"/>
          <w:sz w:val="16"/>
          <w:szCs w:val="16"/>
        </w:rPr>
        <w:t xml:space="preserve"> El costo de envío, en su caso, y </w:t>
      </w:r>
      <w:r w:rsidRPr="0008101C">
        <w:rPr>
          <w:rFonts w:cs="Arial"/>
          <w:b/>
          <w:color w:val="2E74B5" w:themeColor="accent1" w:themeShade="BF"/>
          <w:sz w:val="16"/>
          <w:szCs w:val="16"/>
        </w:rPr>
        <w:t>III.</w:t>
      </w:r>
      <w:r w:rsidRPr="0008101C">
        <w:rPr>
          <w:rFonts w:cs="Arial"/>
          <w:color w:val="2E74B5" w:themeColor="accent1" w:themeShade="BF"/>
          <w:sz w:val="16"/>
          <w:szCs w:val="16"/>
        </w:rPr>
        <w:t xml:space="preserve"> El pago de la certificación de los Documentos, cuando proceda.- Tratándose de la reproducción en medios magnéticos, si el solicitante aporta el medio en el que será almacenada la información, la reproducción será totalmente gratuita.- Los sujetos obligados llevarán a cabo la reproducción y/o envío de la información solicitada, previo pago de los derechos correspondientes.- La información deberá ser entregada sin costo, cuando implique la entrega de no más de veinte hojas simples. Las unidades de transparencia podrán exceptuar el pago de reproducción y envío atendiendo a las circunstancias socioeconómicas del solicitante.- Ante la falta de respuesta a una solicitud en el plazo previsto y en caso de que proceda el acceso, los costos de reproducción y envío correrán a cargo del sujeto obligado.-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 w:id="5">
    <w:p w:rsidR="002023AA" w:rsidRPr="0008101C" w:rsidRDefault="002023AA" w:rsidP="0008101C">
      <w:pPr>
        <w:pStyle w:val="Default"/>
        <w:spacing w:line="276" w:lineRule="auto"/>
        <w:jc w:val="both"/>
        <w:rPr>
          <w:color w:val="2E74B5" w:themeColor="accent1" w:themeShade="BF"/>
          <w:sz w:val="16"/>
          <w:szCs w:val="16"/>
        </w:rPr>
      </w:pPr>
      <w:r w:rsidRPr="0008101C">
        <w:rPr>
          <w:rStyle w:val="Refdenotaalpie"/>
          <w:color w:val="2E74B5" w:themeColor="accent1" w:themeShade="BF"/>
          <w:sz w:val="16"/>
          <w:szCs w:val="16"/>
        </w:rPr>
        <w:footnoteRef/>
      </w:r>
      <w:r w:rsidRPr="0008101C">
        <w:rPr>
          <w:color w:val="2E74B5" w:themeColor="accent1" w:themeShade="BF"/>
          <w:sz w:val="16"/>
          <w:szCs w:val="16"/>
        </w:rPr>
        <w:t xml:space="preserve"> </w:t>
      </w:r>
      <w:r w:rsidRPr="0008101C">
        <w:rPr>
          <w:b/>
          <w:bCs/>
          <w:color w:val="2E74B5" w:themeColor="accent1" w:themeShade="BF"/>
          <w:sz w:val="16"/>
          <w:szCs w:val="16"/>
        </w:rPr>
        <w:t xml:space="preserve">ARTÍCULO 148. </w:t>
      </w:r>
      <w:r w:rsidRPr="0008101C">
        <w:rPr>
          <w:color w:val="2E74B5" w:themeColor="accent1" w:themeShade="BF"/>
          <w:sz w:val="16"/>
          <w:szCs w:val="16"/>
        </w:rPr>
        <w:t>Los términos de todas las notificaciones previstas en esta Ley, empezarán a correr al día siguiente al que se practiquen. - Cuando los plazos fijados por esta Ley sean en días, éstos se entenderán como hábiles.</w:t>
      </w:r>
    </w:p>
    <w:p w:rsidR="002023AA" w:rsidRPr="0008101C" w:rsidRDefault="002023AA" w:rsidP="0008101C">
      <w:pPr>
        <w:pStyle w:val="Textonotapie"/>
        <w:spacing w:after="0"/>
        <w:jc w:val="both"/>
        <w:rPr>
          <w:rFonts w:ascii="Arial" w:hAnsi="Arial" w:cs="Arial"/>
          <w:color w:val="2E74B5" w:themeColor="accent1" w:themeShade="BF"/>
          <w:sz w:val="16"/>
          <w:szCs w:val="16"/>
        </w:rPr>
      </w:pPr>
      <w:r w:rsidRPr="0008101C">
        <w:rPr>
          <w:rFonts w:ascii="Arial" w:hAnsi="Arial" w:cs="Arial"/>
          <w:b/>
          <w:bCs/>
          <w:color w:val="2E74B5" w:themeColor="accent1" w:themeShade="BF"/>
          <w:sz w:val="16"/>
          <w:szCs w:val="16"/>
        </w:rPr>
        <w:t xml:space="preserve">ARTÍCULO 154. </w:t>
      </w:r>
      <w:r w:rsidRPr="0008101C">
        <w:rPr>
          <w:rFonts w:ascii="Arial" w:hAnsi="Arial" w:cs="Arial"/>
          <w:color w:val="2E74B5" w:themeColor="accent1" w:themeShade="BF"/>
          <w:sz w:val="16"/>
          <w:szCs w:val="16"/>
        </w:rPr>
        <w:t>La respuesta a la solicitud deberá ser notificada al interesado en el menor tiempo posible, que no podrá exceder de diez días, contados a partir del día siguiente a la presentación de aquélla.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6">
    <w:p w:rsidR="00B71ECE" w:rsidRPr="00D34535" w:rsidRDefault="00B71ECE" w:rsidP="00B71ECE">
      <w:pPr>
        <w:spacing w:line="240" w:lineRule="auto"/>
        <w:rPr>
          <w:rFonts w:ascii="Arial" w:hAnsi="Arial" w:cs="Arial"/>
          <w:b/>
          <w:sz w:val="16"/>
          <w:szCs w:val="16"/>
        </w:rPr>
      </w:pPr>
      <w:r w:rsidRPr="00D61078">
        <w:rPr>
          <w:rStyle w:val="Refdenotaalpie"/>
          <w:rFonts w:ascii="Arial" w:hAnsi="Arial" w:cs="Arial"/>
          <w:sz w:val="16"/>
          <w:szCs w:val="16"/>
        </w:rPr>
        <w:footnoteRef/>
      </w:r>
      <w:r w:rsidRPr="00D61078">
        <w:rPr>
          <w:rFonts w:ascii="Arial" w:hAnsi="Arial" w:cs="Arial"/>
          <w:sz w:val="16"/>
          <w:szCs w:val="16"/>
        </w:rPr>
        <w:t xml:space="preserve">Es de puntualizar que dicho Código fue publicado en el Periódico Oficial del Estado Libre y Soberano de San Luis Potosí, el dieciocho de julio de dos mil dieciocho, el cual en atención al principio de economía y simplificación administrativa unificó </w:t>
      </w:r>
      <w:r w:rsidRPr="00D61078">
        <w:rPr>
          <w:rFonts w:ascii="Arial" w:hAnsi="Arial" w:cs="Arial"/>
          <w:b/>
          <w:sz w:val="16"/>
          <w:szCs w:val="16"/>
        </w:rPr>
        <w:t>la Ley de Procedimientos Administrativos del Estado y Municipios de San Luis Potosí</w:t>
      </w:r>
      <w:r w:rsidRPr="00D61078">
        <w:rPr>
          <w:rFonts w:ascii="Arial" w:hAnsi="Arial" w:cs="Arial"/>
          <w:sz w:val="16"/>
          <w:szCs w:val="16"/>
        </w:rPr>
        <w:t xml:space="preserve"> y la Ley de Justicia Administrativa</w:t>
      </w:r>
      <w:r w:rsidRPr="00D61078">
        <w:rPr>
          <w:rFonts w:ascii="Arial" w:hAnsi="Arial" w:cs="Arial"/>
          <w:b/>
          <w:sz w:val="16"/>
          <w:szCs w:val="16"/>
        </w:rPr>
        <w:t>, siendo la primera</w:t>
      </w:r>
      <w:r>
        <w:rPr>
          <w:rFonts w:ascii="Arial" w:hAnsi="Arial" w:cs="Arial"/>
          <w:b/>
          <w:sz w:val="16"/>
          <w:szCs w:val="16"/>
        </w:rPr>
        <w:t xml:space="preserve"> éstas de aplicación supletoria, </w:t>
      </w:r>
      <w:r w:rsidRPr="00D61078">
        <w:rPr>
          <w:rFonts w:ascii="Arial" w:hAnsi="Arial" w:cs="Arial"/>
          <w:sz w:val="16"/>
          <w:szCs w:val="16"/>
        </w:rPr>
        <w:t xml:space="preserve">conforme lo dispuesto por </w:t>
      </w:r>
      <w:r>
        <w:rPr>
          <w:rFonts w:ascii="Arial" w:hAnsi="Arial" w:cs="Arial"/>
          <w:sz w:val="16"/>
          <w:szCs w:val="16"/>
        </w:rPr>
        <w:t>tercer párrafo d</w:t>
      </w:r>
      <w:r w:rsidRPr="00D61078">
        <w:rPr>
          <w:rFonts w:ascii="Arial" w:hAnsi="Arial" w:cs="Arial"/>
          <w:sz w:val="16"/>
          <w:szCs w:val="16"/>
        </w:rPr>
        <w:t>el artículo 1</w:t>
      </w:r>
      <w:r>
        <w:rPr>
          <w:rFonts w:ascii="Arial" w:hAnsi="Arial" w:cs="Arial"/>
          <w:sz w:val="16"/>
          <w:szCs w:val="16"/>
        </w:rPr>
        <w:t>º d</w:t>
      </w:r>
      <w:r w:rsidRPr="00D61078">
        <w:rPr>
          <w:rFonts w:ascii="Arial" w:hAnsi="Arial" w:cs="Arial"/>
          <w:sz w:val="16"/>
          <w:szCs w:val="16"/>
        </w:rPr>
        <w:t>e la Ley de</w:t>
      </w:r>
      <w:r w:rsidRPr="00D34535">
        <w:rPr>
          <w:rFonts w:ascii="Arial" w:hAnsi="Arial" w:cs="Arial"/>
          <w:sz w:val="16"/>
          <w:szCs w:val="16"/>
        </w:rPr>
        <w:t xml:space="preserve"> Transparencia y A</w:t>
      </w:r>
      <w:r>
        <w:rPr>
          <w:rFonts w:ascii="Arial" w:hAnsi="Arial" w:cs="Arial"/>
          <w:sz w:val="16"/>
          <w:szCs w:val="16"/>
        </w:rPr>
        <w:t>cceso a la Información Pública.</w:t>
      </w:r>
    </w:p>
  </w:footnote>
  <w:footnote w:id="7">
    <w:p w:rsidR="00B71ECE" w:rsidRDefault="00B71ECE" w:rsidP="00B71ECE">
      <w:pPr>
        <w:pStyle w:val="Textonotapie"/>
      </w:pPr>
      <w:r>
        <w:rPr>
          <w:rStyle w:val="Refdenotaalpie"/>
        </w:rPr>
        <w:footnoteRef/>
      </w:r>
      <w:r>
        <w:t xml:space="preserve"> Pallares, Eduardo, Derecho procesal Civil, México, Editorial Porrúa, 1971, 4ª Edición, p. 124 </w:t>
      </w:r>
    </w:p>
  </w:footnote>
  <w:footnote w:id="8">
    <w:p w:rsidR="00B71ECE" w:rsidRPr="0008101C" w:rsidRDefault="00B71ECE" w:rsidP="0008101C">
      <w:pPr>
        <w:pStyle w:val="Textonotapie"/>
        <w:spacing w:after="0"/>
        <w:jc w:val="both"/>
        <w:rPr>
          <w:rFonts w:ascii="Arial" w:hAnsi="Arial" w:cs="Arial"/>
          <w:color w:val="2E74B5" w:themeColor="accent1" w:themeShade="BF"/>
          <w:sz w:val="14"/>
          <w:szCs w:val="14"/>
        </w:rPr>
      </w:pPr>
      <w:r w:rsidRPr="0008101C">
        <w:rPr>
          <w:rStyle w:val="Refdenotaalpie"/>
          <w:color w:val="2E74B5" w:themeColor="accent1" w:themeShade="BF"/>
          <w:sz w:val="14"/>
          <w:szCs w:val="14"/>
        </w:rPr>
        <w:footnoteRef/>
      </w:r>
      <w:r w:rsidRPr="0008101C">
        <w:rPr>
          <w:color w:val="2E74B5" w:themeColor="accent1" w:themeShade="BF"/>
          <w:sz w:val="14"/>
          <w:szCs w:val="14"/>
        </w:rPr>
        <w:t xml:space="preserve"> </w:t>
      </w:r>
      <w:r w:rsidRPr="0008101C">
        <w:rPr>
          <w:rFonts w:ascii="Arial" w:hAnsi="Arial" w:cs="Arial"/>
          <w:b/>
          <w:color w:val="2E74B5" w:themeColor="accent1" w:themeShade="BF"/>
          <w:sz w:val="14"/>
          <w:szCs w:val="14"/>
        </w:rPr>
        <w:t xml:space="preserve">ARTÍCULO 165. </w:t>
      </w:r>
      <w:r w:rsidRPr="0008101C">
        <w:rPr>
          <w:rFonts w:ascii="Arial" w:hAnsi="Arial" w:cs="Arial"/>
          <w:color w:val="2E74B5" w:themeColor="accent1" w:themeShade="BF"/>
          <w:sz w:val="14"/>
          <w:szCs w:val="14"/>
        </w:rPr>
        <w:t xml:space="preserve">En caso de existir costos para obtener la información, deberán cubrirse de manera previa a la entrega y no podrán ser superiores a la suma de: </w:t>
      </w:r>
    </w:p>
    <w:p w:rsidR="00B71ECE" w:rsidRPr="0008101C" w:rsidRDefault="00B71ECE" w:rsidP="0008101C">
      <w:pPr>
        <w:pStyle w:val="Textonotapie"/>
        <w:spacing w:after="0"/>
        <w:jc w:val="both"/>
        <w:rPr>
          <w:rFonts w:ascii="Arial" w:hAnsi="Arial" w:cs="Arial"/>
          <w:color w:val="2E74B5" w:themeColor="accent1" w:themeShade="BF"/>
          <w:sz w:val="14"/>
          <w:szCs w:val="14"/>
        </w:rPr>
      </w:pPr>
      <w:r w:rsidRPr="0008101C">
        <w:rPr>
          <w:rFonts w:ascii="Arial" w:hAnsi="Arial" w:cs="Arial"/>
          <w:color w:val="2E74B5" w:themeColor="accent1" w:themeShade="BF"/>
          <w:sz w:val="14"/>
          <w:szCs w:val="14"/>
        </w:rPr>
        <w:t>[...]</w:t>
      </w:r>
    </w:p>
    <w:p w:rsidR="00B71ECE" w:rsidRPr="0008101C" w:rsidRDefault="00B71ECE" w:rsidP="0008101C">
      <w:pPr>
        <w:pStyle w:val="Textonotapie"/>
        <w:spacing w:after="0"/>
        <w:jc w:val="both"/>
        <w:rPr>
          <w:color w:val="2E74B5" w:themeColor="accent1" w:themeShade="BF"/>
          <w:sz w:val="14"/>
          <w:szCs w:val="14"/>
        </w:rPr>
      </w:pPr>
      <w:r w:rsidRPr="0008101C">
        <w:rPr>
          <w:rFonts w:ascii="Arial" w:hAnsi="Arial" w:cs="Arial"/>
          <w:color w:val="2E74B5" w:themeColor="accent1" w:themeShade="BF"/>
          <w:sz w:val="14"/>
          <w:szCs w:val="14"/>
        </w:rPr>
        <w:t>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 w:id="9">
    <w:p w:rsidR="00B71ECE" w:rsidRPr="0008101C" w:rsidRDefault="00B71ECE" w:rsidP="0008101C">
      <w:pPr>
        <w:pStyle w:val="Textonotapie"/>
        <w:spacing w:after="0"/>
        <w:jc w:val="both"/>
        <w:rPr>
          <w:rFonts w:ascii="Arial" w:hAnsi="Arial" w:cs="Arial"/>
          <w:color w:val="2E74B5" w:themeColor="accent1" w:themeShade="BF"/>
          <w:sz w:val="14"/>
          <w:szCs w:val="14"/>
        </w:rPr>
      </w:pPr>
      <w:r w:rsidRPr="0008101C">
        <w:rPr>
          <w:rStyle w:val="Refdenotaalpie"/>
          <w:color w:val="2E74B5" w:themeColor="accent1" w:themeShade="BF"/>
          <w:sz w:val="14"/>
          <w:szCs w:val="14"/>
        </w:rPr>
        <w:footnoteRef/>
      </w:r>
      <w:r w:rsidRPr="0008101C">
        <w:rPr>
          <w:color w:val="2E74B5" w:themeColor="accent1" w:themeShade="BF"/>
          <w:sz w:val="14"/>
          <w:szCs w:val="14"/>
        </w:rPr>
        <w:t xml:space="preserve"> </w:t>
      </w:r>
      <w:r w:rsidRPr="0008101C">
        <w:rPr>
          <w:rFonts w:ascii="Arial" w:hAnsi="Arial" w:cs="Arial"/>
          <w:b/>
          <w:color w:val="2E74B5" w:themeColor="accent1" w:themeShade="BF"/>
          <w:sz w:val="14"/>
          <w:szCs w:val="14"/>
        </w:rPr>
        <w:t>ARTÍCULO 17.</w:t>
      </w:r>
      <w:r w:rsidRPr="0008101C">
        <w:rPr>
          <w:rFonts w:ascii="Arial" w:hAnsi="Arial" w:cs="Arial"/>
          <w:color w:val="2E74B5" w:themeColor="accent1" w:themeShade="BF"/>
          <w:sz w:val="14"/>
          <w:szCs w:val="14"/>
        </w:rPr>
        <w:t xml:space="preserve"> El ejercicio del derecho de acceso a la información es gratuito y sólo podrá requerirse el cobro correspondiente a la modalidad de reproducción y entrega solicitada. [...]”</w:t>
      </w:r>
    </w:p>
  </w:footnote>
  <w:footnote w:id="10">
    <w:p w:rsidR="00B71ECE" w:rsidRPr="0008101C" w:rsidRDefault="00B71ECE" w:rsidP="0008101C">
      <w:pPr>
        <w:pStyle w:val="Textonotapie"/>
        <w:spacing w:after="0"/>
        <w:jc w:val="both"/>
        <w:rPr>
          <w:rFonts w:ascii="Arial" w:hAnsi="Arial" w:cs="Arial"/>
          <w:color w:val="2E74B5" w:themeColor="accent1" w:themeShade="BF"/>
          <w:sz w:val="14"/>
          <w:szCs w:val="14"/>
        </w:rPr>
      </w:pPr>
      <w:r w:rsidRPr="0008101C">
        <w:rPr>
          <w:rStyle w:val="Refdenotaalpie"/>
          <w:rFonts w:ascii="Arial" w:hAnsi="Arial" w:cs="Arial"/>
          <w:color w:val="2E74B5" w:themeColor="accent1" w:themeShade="BF"/>
          <w:sz w:val="14"/>
          <w:szCs w:val="14"/>
        </w:rPr>
        <w:footnoteRef/>
      </w:r>
      <w:r w:rsidRPr="0008101C">
        <w:rPr>
          <w:rFonts w:ascii="Arial" w:hAnsi="Arial" w:cs="Arial"/>
          <w:color w:val="2E74B5" w:themeColor="accent1" w:themeShade="BF"/>
          <w:sz w:val="14"/>
          <w:szCs w:val="14"/>
        </w:rPr>
        <w:t xml:space="preserve"> </w:t>
      </w:r>
      <w:r w:rsidRPr="0008101C">
        <w:rPr>
          <w:rFonts w:ascii="Arial" w:hAnsi="Arial" w:cs="Arial"/>
          <w:b/>
          <w:color w:val="2E74B5" w:themeColor="accent1" w:themeShade="BF"/>
          <w:sz w:val="14"/>
          <w:szCs w:val="14"/>
        </w:rPr>
        <w:t>ARTÍCULO 62</w:t>
      </w:r>
      <w:r w:rsidRPr="0008101C">
        <w:rPr>
          <w:rFonts w:ascii="Arial" w:hAnsi="Arial" w:cs="Arial"/>
          <w:color w:val="2E74B5" w:themeColor="accent1" w:themeShade="BF"/>
          <w:sz w:val="14"/>
          <w:szCs w:val="14"/>
        </w:rPr>
        <w:t>.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footnote>
  <w:footnote w:id="11">
    <w:p w:rsidR="00B71ECE" w:rsidRPr="0008101C" w:rsidRDefault="00B71ECE" w:rsidP="0008101C">
      <w:pPr>
        <w:pStyle w:val="Textonotapie"/>
        <w:spacing w:after="0"/>
        <w:jc w:val="both"/>
        <w:rPr>
          <w:color w:val="2E74B5" w:themeColor="accent1" w:themeShade="BF"/>
          <w:sz w:val="14"/>
          <w:szCs w:val="14"/>
        </w:rPr>
      </w:pPr>
      <w:r w:rsidRPr="0008101C">
        <w:rPr>
          <w:rStyle w:val="Refdenotaalpie"/>
          <w:rFonts w:ascii="Arial" w:hAnsi="Arial" w:cs="Arial"/>
          <w:color w:val="2E74B5" w:themeColor="accent1" w:themeShade="BF"/>
          <w:sz w:val="14"/>
          <w:szCs w:val="14"/>
        </w:rPr>
        <w:footnoteRef/>
      </w:r>
      <w:r w:rsidRPr="0008101C">
        <w:rPr>
          <w:rFonts w:ascii="Arial" w:hAnsi="Arial" w:cs="Arial"/>
          <w:color w:val="2E74B5" w:themeColor="accent1" w:themeShade="BF"/>
          <w:sz w:val="14"/>
          <w:szCs w:val="14"/>
        </w:rPr>
        <w:t xml:space="preserve"> [...] Ante la falta de respuesta a una solicitud en el plazo previsto y en caso de que proceda el acceso, los costos de reproducción y envío correrán a cargo del sujeto obligado. [...]</w:t>
      </w:r>
    </w:p>
  </w:footnote>
  <w:footnote w:id="12">
    <w:p w:rsidR="002023AA" w:rsidRPr="0008101C" w:rsidRDefault="002023AA" w:rsidP="00450214">
      <w:pPr>
        <w:pStyle w:val="Textonotapie"/>
        <w:spacing w:after="0" w:line="240" w:lineRule="auto"/>
        <w:jc w:val="both"/>
        <w:rPr>
          <w:rFonts w:ascii="Arial" w:hAnsi="Arial" w:cs="Arial"/>
          <w:color w:val="2E74B5" w:themeColor="accent1" w:themeShade="BF"/>
          <w:sz w:val="14"/>
          <w:szCs w:val="14"/>
        </w:rPr>
      </w:pPr>
      <w:r w:rsidRPr="0008101C">
        <w:rPr>
          <w:rStyle w:val="Refdenotaalpie"/>
          <w:rFonts w:ascii="Arial" w:hAnsi="Arial" w:cs="Arial"/>
          <w:color w:val="2E74B5" w:themeColor="accent1" w:themeShade="BF"/>
          <w:sz w:val="14"/>
          <w:szCs w:val="14"/>
        </w:rPr>
        <w:footnoteRef/>
      </w:r>
      <w:r w:rsidRPr="0008101C">
        <w:rPr>
          <w:rFonts w:ascii="Arial" w:hAnsi="Arial" w:cs="Arial"/>
          <w:color w:val="2E74B5" w:themeColor="accent1" w:themeShade="BF"/>
          <w:sz w:val="14"/>
          <w:szCs w:val="14"/>
        </w:rPr>
        <w:t xml:space="preserve"> </w:t>
      </w:r>
      <w:r w:rsidRPr="0008101C">
        <w:rPr>
          <w:rFonts w:ascii="Arial" w:hAnsi="Arial" w:cs="Arial"/>
          <w:b/>
          <w:bCs/>
          <w:color w:val="2E74B5" w:themeColor="accent1" w:themeShade="BF"/>
          <w:sz w:val="14"/>
          <w:szCs w:val="14"/>
        </w:rPr>
        <w:t xml:space="preserve">ARTICULO 7. </w:t>
      </w:r>
      <w:r w:rsidRPr="0008101C">
        <w:rPr>
          <w:rFonts w:ascii="Arial" w:hAnsi="Arial" w:cs="Arial"/>
          <w:color w:val="2E74B5" w:themeColor="accent1" w:themeShade="BF"/>
          <w:sz w:val="14"/>
          <w:szCs w:val="14"/>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13">
    <w:p w:rsidR="002023AA" w:rsidRPr="00E649C8" w:rsidRDefault="002023AA" w:rsidP="00450214">
      <w:pPr>
        <w:pStyle w:val="corte4fondo"/>
        <w:spacing w:line="240" w:lineRule="auto"/>
        <w:ind w:firstLine="1"/>
        <w:rPr>
          <w:color w:val="2E74B5" w:themeColor="accent1" w:themeShade="BF"/>
          <w:sz w:val="16"/>
          <w:szCs w:val="16"/>
        </w:rPr>
      </w:pPr>
      <w:r w:rsidRPr="00E649C8">
        <w:rPr>
          <w:rStyle w:val="Refdenotaalpie"/>
          <w:color w:val="2E74B5" w:themeColor="accent1" w:themeShade="BF"/>
          <w:sz w:val="16"/>
          <w:szCs w:val="16"/>
        </w:rPr>
        <w:footnoteRef/>
      </w:r>
      <w:r w:rsidRPr="00E649C8">
        <w:rPr>
          <w:color w:val="2E74B5" w:themeColor="accent1" w:themeShade="BF"/>
          <w:sz w:val="16"/>
          <w:szCs w:val="16"/>
        </w:rPr>
        <w:t xml:space="preserve"> </w:t>
      </w:r>
      <w:r w:rsidRPr="00E649C8">
        <w:rPr>
          <w:b/>
          <w:bCs/>
          <w:color w:val="2E74B5" w:themeColor="accent1" w:themeShade="BF"/>
          <w:sz w:val="16"/>
          <w:szCs w:val="16"/>
        </w:rPr>
        <w:t xml:space="preserve">ARTÍCULO 22. </w:t>
      </w:r>
      <w:r w:rsidRPr="00E649C8">
        <w:rPr>
          <w:color w:val="2E74B5" w:themeColor="accent1" w:themeShade="BF"/>
          <w:sz w:val="16"/>
          <w:szCs w:val="16"/>
        </w:rPr>
        <w:t>En el procedimiento de acceso, entrega y publicación de la información se propiciarán las condiciones necesarias para que ésta sea accesible a cualquier persona.</w:t>
      </w:r>
    </w:p>
    <w:p w:rsidR="002023AA" w:rsidRPr="00E649C8" w:rsidRDefault="002023AA" w:rsidP="00450214">
      <w:pPr>
        <w:pStyle w:val="corte4fondo"/>
        <w:spacing w:line="240" w:lineRule="auto"/>
        <w:ind w:firstLine="1"/>
        <w:rPr>
          <w:color w:val="2E74B5" w:themeColor="accent1" w:themeShade="BF"/>
          <w:sz w:val="16"/>
          <w:szCs w:val="16"/>
        </w:rPr>
      </w:pPr>
      <w:r w:rsidRPr="00E649C8">
        <w:rPr>
          <w:b/>
          <w:bCs/>
          <w:color w:val="2E74B5" w:themeColor="accent1" w:themeShade="BF"/>
          <w:sz w:val="16"/>
          <w:szCs w:val="16"/>
        </w:rPr>
        <w:t xml:space="preserve">ARTÍCULO 62. </w:t>
      </w:r>
      <w:r w:rsidRPr="00E649C8">
        <w:rPr>
          <w:color w:val="2E74B5" w:themeColor="accent1" w:themeShade="BF"/>
          <w:sz w:val="16"/>
          <w:szCs w:val="16"/>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2023AA" w:rsidRPr="00E649C8" w:rsidRDefault="002023AA" w:rsidP="00450214">
      <w:pPr>
        <w:pStyle w:val="corte4fondo"/>
        <w:spacing w:line="240" w:lineRule="auto"/>
        <w:ind w:firstLine="1"/>
        <w:rPr>
          <w:color w:val="2E74B5" w:themeColor="accent1" w:themeShade="BF"/>
          <w:sz w:val="16"/>
          <w:szCs w:val="16"/>
        </w:rPr>
      </w:pPr>
      <w:r w:rsidRPr="00E649C8">
        <w:rPr>
          <w:color w:val="2E74B5" w:themeColor="accent1" w:themeShade="BF"/>
          <w:sz w:val="16"/>
          <w:szCs w:val="16"/>
        </w:rPr>
        <w:t>Los sujetos obligados que por su naturaleza jurídica no cuenten con Ley de Ingresos, deberá remitirse a la Ley de Ingresos del Estado o Municipios, según corresponda.</w:t>
      </w:r>
    </w:p>
    <w:p w:rsidR="002023AA" w:rsidRPr="0001212F" w:rsidRDefault="002023AA" w:rsidP="00450214">
      <w:pPr>
        <w:pStyle w:val="corte4fondo"/>
        <w:spacing w:line="240" w:lineRule="auto"/>
        <w:ind w:firstLine="1"/>
        <w:rPr>
          <w:sz w:val="16"/>
          <w:szCs w:val="16"/>
        </w:rPr>
      </w:pPr>
      <w:r w:rsidRPr="00E649C8">
        <w:rPr>
          <w:b/>
          <w:bCs/>
          <w:color w:val="2E74B5" w:themeColor="accent1" w:themeShade="BF"/>
          <w:sz w:val="16"/>
          <w:szCs w:val="16"/>
        </w:rPr>
        <w:t xml:space="preserve">ARTÍCULO 165. </w:t>
      </w:r>
      <w:r w:rsidRPr="00E649C8">
        <w:rPr>
          <w:color w:val="2E74B5" w:themeColor="accent1" w:themeShade="BF"/>
          <w:sz w:val="16"/>
          <w:szCs w:val="16"/>
        </w:rPr>
        <w:t xml:space="preserve">En caso de existir costos para obtener la información, deberán cubrirse de manera previa a la entrega y no </w:t>
      </w:r>
      <w:r w:rsidRPr="00E05B4B">
        <w:rPr>
          <w:color w:val="2E74B5" w:themeColor="accent1" w:themeShade="BF"/>
          <w:sz w:val="16"/>
          <w:szCs w:val="16"/>
        </w:rPr>
        <w:t xml:space="preserve">podrán ser superiores a la suma de: </w:t>
      </w:r>
      <w:r w:rsidRPr="00E05B4B">
        <w:rPr>
          <w:bCs/>
          <w:color w:val="2E74B5" w:themeColor="accent1" w:themeShade="BF"/>
          <w:sz w:val="16"/>
          <w:szCs w:val="16"/>
        </w:rPr>
        <w:t>[…]</w:t>
      </w:r>
      <w:r w:rsidRPr="00E05B4B">
        <w:rPr>
          <w:color w:val="2E74B5" w:themeColor="accent1" w:themeShade="BF"/>
          <w:sz w:val="16"/>
          <w:szCs w:val="16"/>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w:t>
      </w:r>
      <w:r w:rsidRPr="00B31364">
        <w:rPr>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3AA" w:rsidRPr="008850DE" w:rsidRDefault="002023AA" w:rsidP="004B3896">
    <w:pPr>
      <w:pStyle w:val="Encabezado"/>
      <w:tabs>
        <w:tab w:val="left" w:pos="3969"/>
      </w:tabs>
      <w:jc w:val="right"/>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08101C">
      <w:rPr>
        <w:rFonts w:ascii="Arial" w:hAnsi="Arial" w:cs="Arial"/>
        <w:noProof/>
      </w:rPr>
      <w:t>19</w:t>
    </w:r>
    <w:r w:rsidRPr="00F23CCE">
      <w:rPr>
        <w:rFonts w:ascii="Arial" w:hAnsi="Arial" w:cs="Arial"/>
      </w:rPr>
      <w:fldChar w:fldCharType="end"/>
    </w:r>
    <w:r>
      <w:rPr>
        <w:rFonts w:ascii="Arial" w:hAnsi="Arial" w:cs="Arial"/>
      </w:rPr>
      <w:t xml:space="preserve">                          </w:t>
    </w:r>
    <w:r w:rsidRPr="008F5D9C">
      <w:rPr>
        <w:rFonts w:ascii="Arial" w:hAnsi="Arial" w:cs="Arial"/>
        <w:b/>
        <w:color w:val="2E74B5" w:themeColor="accent1" w:themeShade="BF"/>
        <w:sz w:val="16"/>
        <w:szCs w:val="16"/>
      </w:rPr>
      <w:t xml:space="preserve">RECURSO DE REVISIÓN  </w:t>
    </w:r>
    <w:r>
      <w:rPr>
        <w:rFonts w:ascii="Arial" w:hAnsi="Arial" w:cs="Arial"/>
        <w:b/>
        <w:color w:val="2E74B5" w:themeColor="accent1" w:themeShade="BF"/>
        <w:sz w:val="16"/>
        <w:szCs w:val="16"/>
      </w:rPr>
      <w:t>884</w:t>
    </w:r>
    <w:r w:rsidRPr="008F5D9C">
      <w:rPr>
        <w:rFonts w:ascii="Arial" w:hAnsi="Arial" w:cs="Arial"/>
        <w:b/>
        <w:color w:val="2E74B5" w:themeColor="accent1" w:themeShade="BF"/>
        <w:sz w:val="16"/>
        <w:szCs w:val="16"/>
      </w:rPr>
      <w:t>/2018-2</w:t>
    </w:r>
  </w:p>
  <w:p w:rsidR="002023AA" w:rsidRDefault="002023A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803"/>
    <w:multiLevelType w:val="hybridMultilevel"/>
    <w:tmpl w:val="D2E67F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467450"/>
    <w:multiLevelType w:val="hybridMultilevel"/>
    <w:tmpl w:val="7200C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3"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B5163C"/>
    <w:multiLevelType w:val="hybridMultilevel"/>
    <w:tmpl w:val="3F40F9A8"/>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5" w15:restartNumberingAfterBreak="0">
    <w:nsid w:val="17263705"/>
    <w:multiLevelType w:val="hybridMultilevel"/>
    <w:tmpl w:val="CF4086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35FE131E"/>
    <w:multiLevelType w:val="hybridMultilevel"/>
    <w:tmpl w:val="338A88E4"/>
    <w:lvl w:ilvl="0" w:tplc="080A0001">
      <w:start w:val="1"/>
      <w:numFmt w:val="bullet"/>
      <w:lvlText w:val=""/>
      <w:lvlJc w:val="left"/>
      <w:pPr>
        <w:ind w:left="1353" w:hanging="360"/>
      </w:pPr>
      <w:rPr>
        <w:rFonts w:ascii="Symbol" w:hAnsi="Symbol" w:hint="default"/>
      </w:rPr>
    </w:lvl>
    <w:lvl w:ilvl="1" w:tplc="080A0003" w:tentative="1">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8" w15:restartNumberingAfterBreak="0">
    <w:nsid w:val="375042ED"/>
    <w:multiLevelType w:val="hybridMultilevel"/>
    <w:tmpl w:val="74045FCA"/>
    <w:lvl w:ilvl="0" w:tplc="080A0017">
      <w:start w:val="1"/>
      <w:numFmt w:val="lowerLetter"/>
      <w:lvlText w:val="%1)"/>
      <w:lvlJc w:val="left"/>
      <w:pPr>
        <w:ind w:left="1290" w:hanging="360"/>
      </w:pPr>
    </w:lvl>
    <w:lvl w:ilvl="1" w:tplc="080A0019" w:tentative="1">
      <w:start w:val="1"/>
      <w:numFmt w:val="lowerLetter"/>
      <w:lvlText w:val="%2."/>
      <w:lvlJc w:val="left"/>
      <w:pPr>
        <w:ind w:left="2010" w:hanging="360"/>
      </w:pPr>
    </w:lvl>
    <w:lvl w:ilvl="2" w:tplc="080A001B" w:tentative="1">
      <w:start w:val="1"/>
      <w:numFmt w:val="lowerRoman"/>
      <w:lvlText w:val="%3."/>
      <w:lvlJc w:val="right"/>
      <w:pPr>
        <w:ind w:left="2730" w:hanging="180"/>
      </w:pPr>
    </w:lvl>
    <w:lvl w:ilvl="3" w:tplc="080A000F" w:tentative="1">
      <w:start w:val="1"/>
      <w:numFmt w:val="decimal"/>
      <w:lvlText w:val="%4."/>
      <w:lvlJc w:val="left"/>
      <w:pPr>
        <w:ind w:left="3450" w:hanging="360"/>
      </w:pPr>
    </w:lvl>
    <w:lvl w:ilvl="4" w:tplc="080A0019" w:tentative="1">
      <w:start w:val="1"/>
      <w:numFmt w:val="lowerLetter"/>
      <w:lvlText w:val="%5."/>
      <w:lvlJc w:val="left"/>
      <w:pPr>
        <w:ind w:left="4170" w:hanging="360"/>
      </w:pPr>
    </w:lvl>
    <w:lvl w:ilvl="5" w:tplc="080A001B" w:tentative="1">
      <w:start w:val="1"/>
      <w:numFmt w:val="lowerRoman"/>
      <w:lvlText w:val="%6."/>
      <w:lvlJc w:val="right"/>
      <w:pPr>
        <w:ind w:left="4890" w:hanging="180"/>
      </w:pPr>
    </w:lvl>
    <w:lvl w:ilvl="6" w:tplc="080A000F" w:tentative="1">
      <w:start w:val="1"/>
      <w:numFmt w:val="decimal"/>
      <w:lvlText w:val="%7."/>
      <w:lvlJc w:val="left"/>
      <w:pPr>
        <w:ind w:left="5610" w:hanging="360"/>
      </w:pPr>
    </w:lvl>
    <w:lvl w:ilvl="7" w:tplc="080A0019" w:tentative="1">
      <w:start w:val="1"/>
      <w:numFmt w:val="lowerLetter"/>
      <w:lvlText w:val="%8."/>
      <w:lvlJc w:val="left"/>
      <w:pPr>
        <w:ind w:left="6330" w:hanging="360"/>
      </w:pPr>
    </w:lvl>
    <w:lvl w:ilvl="8" w:tplc="080A001B" w:tentative="1">
      <w:start w:val="1"/>
      <w:numFmt w:val="lowerRoman"/>
      <w:lvlText w:val="%9."/>
      <w:lvlJc w:val="right"/>
      <w:pPr>
        <w:ind w:left="7050" w:hanging="180"/>
      </w:pPr>
    </w:lvl>
  </w:abstractNum>
  <w:abstractNum w:abstractNumId="9"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4DE80150"/>
    <w:multiLevelType w:val="hybridMultilevel"/>
    <w:tmpl w:val="21901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E36EC8"/>
    <w:multiLevelType w:val="hybridMultilevel"/>
    <w:tmpl w:val="82C65124"/>
    <w:lvl w:ilvl="0" w:tplc="516AAEC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559581D"/>
    <w:multiLevelType w:val="hybridMultilevel"/>
    <w:tmpl w:val="B21A169C"/>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13"/>
  </w:num>
  <w:num w:numId="4">
    <w:abstractNumId w:val="2"/>
  </w:num>
  <w:num w:numId="5">
    <w:abstractNumId w:val="3"/>
  </w:num>
  <w:num w:numId="6">
    <w:abstractNumId w:val="11"/>
  </w:num>
  <w:num w:numId="7">
    <w:abstractNumId w:val="0"/>
  </w:num>
  <w:num w:numId="8">
    <w:abstractNumId w:val="12"/>
  </w:num>
  <w:num w:numId="9">
    <w:abstractNumId w:val="5"/>
  </w:num>
  <w:num w:numId="10">
    <w:abstractNumId w:val="4"/>
  </w:num>
  <w:num w:numId="11">
    <w:abstractNumId w:val="8"/>
  </w:num>
  <w:num w:numId="12">
    <w:abstractNumId w:val="1"/>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50214"/>
    <w:rsid w:val="00015DD7"/>
    <w:rsid w:val="00044ABB"/>
    <w:rsid w:val="0008101C"/>
    <w:rsid w:val="00092F5D"/>
    <w:rsid w:val="000A7B0D"/>
    <w:rsid w:val="000B4BFD"/>
    <w:rsid w:val="000D1AE2"/>
    <w:rsid w:val="000E61D8"/>
    <w:rsid w:val="000F4F2F"/>
    <w:rsid w:val="00107313"/>
    <w:rsid w:val="00112D17"/>
    <w:rsid w:val="00131B05"/>
    <w:rsid w:val="00137671"/>
    <w:rsid w:val="00144C84"/>
    <w:rsid w:val="00150473"/>
    <w:rsid w:val="00157652"/>
    <w:rsid w:val="00163108"/>
    <w:rsid w:val="001638BD"/>
    <w:rsid w:val="00174BE8"/>
    <w:rsid w:val="001827BF"/>
    <w:rsid w:val="001C3943"/>
    <w:rsid w:val="001D6BC3"/>
    <w:rsid w:val="001E4AFA"/>
    <w:rsid w:val="00201B78"/>
    <w:rsid w:val="002023AA"/>
    <w:rsid w:val="00222712"/>
    <w:rsid w:val="00244CCB"/>
    <w:rsid w:val="00254AD8"/>
    <w:rsid w:val="002809D6"/>
    <w:rsid w:val="0028646B"/>
    <w:rsid w:val="0029773F"/>
    <w:rsid w:val="002E3BE9"/>
    <w:rsid w:val="002F7624"/>
    <w:rsid w:val="00316370"/>
    <w:rsid w:val="00325C94"/>
    <w:rsid w:val="003266B7"/>
    <w:rsid w:val="00336EEC"/>
    <w:rsid w:val="0037522D"/>
    <w:rsid w:val="003B46AF"/>
    <w:rsid w:val="003E3970"/>
    <w:rsid w:val="0040336D"/>
    <w:rsid w:val="004054AB"/>
    <w:rsid w:val="00450214"/>
    <w:rsid w:val="0045261F"/>
    <w:rsid w:val="0045690D"/>
    <w:rsid w:val="00462B84"/>
    <w:rsid w:val="00465EC0"/>
    <w:rsid w:val="004816B5"/>
    <w:rsid w:val="00494D35"/>
    <w:rsid w:val="004A7717"/>
    <w:rsid w:val="004B3896"/>
    <w:rsid w:val="004C24D9"/>
    <w:rsid w:val="004C5D92"/>
    <w:rsid w:val="004C66B2"/>
    <w:rsid w:val="004E249A"/>
    <w:rsid w:val="005040A0"/>
    <w:rsid w:val="005104A8"/>
    <w:rsid w:val="005560CD"/>
    <w:rsid w:val="005D2700"/>
    <w:rsid w:val="005E067B"/>
    <w:rsid w:val="005E528D"/>
    <w:rsid w:val="005F2AE8"/>
    <w:rsid w:val="0060366E"/>
    <w:rsid w:val="00610E2D"/>
    <w:rsid w:val="006248B4"/>
    <w:rsid w:val="00626B97"/>
    <w:rsid w:val="0064667D"/>
    <w:rsid w:val="00666B97"/>
    <w:rsid w:val="00671123"/>
    <w:rsid w:val="00683C72"/>
    <w:rsid w:val="006D329C"/>
    <w:rsid w:val="006E2953"/>
    <w:rsid w:val="006F7D4A"/>
    <w:rsid w:val="00700FD0"/>
    <w:rsid w:val="00712C16"/>
    <w:rsid w:val="00745C20"/>
    <w:rsid w:val="00765BA7"/>
    <w:rsid w:val="0077229A"/>
    <w:rsid w:val="00795286"/>
    <w:rsid w:val="007A6202"/>
    <w:rsid w:val="007B17E4"/>
    <w:rsid w:val="007B3D78"/>
    <w:rsid w:val="007B4CFC"/>
    <w:rsid w:val="007B5DC6"/>
    <w:rsid w:val="007B6C83"/>
    <w:rsid w:val="007D3205"/>
    <w:rsid w:val="007E6F00"/>
    <w:rsid w:val="007E7911"/>
    <w:rsid w:val="007F25AB"/>
    <w:rsid w:val="00804C7A"/>
    <w:rsid w:val="00830B64"/>
    <w:rsid w:val="00864E8E"/>
    <w:rsid w:val="0088125B"/>
    <w:rsid w:val="00886727"/>
    <w:rsid w:val="00894CCB"/>
    <w:rsid w:val="008A7335"/>
    <w:rsid w:val="009054C9"/>
    <w:rsid w:val="0090693E"/>
    <w:rsid w:val="00936CA6"/>
    <w:rsid w:val="00951383"/>
    <w:rsid w:val="0096560C"/>
    <w:rsid w:val="00971BF2"/>
    <w:rsid w:val="00995B21"/>
    <w:rsid w:val="009B46B4"/>
    <w:rsid w:val="009E4400"/>
    <w:rsid w:val="009E545A"/>
    <w:rsid w:val="00A04492"/>
    <w:rsid w:val="00A127FB"/>
    <w:rsid w:val="00A1353C"/>
    <w:rsid w:val="00A15050"/>
    <w:rsid w:val="00A251A3"/>
    <w:rsid w:val="00A97854"/>
    <w:rsid w:val="00AA26D2"/>
    <w:rsid w:val="00AB1274"/>
    <w:rsid w:val="00AB1F1E"/>
    <w:rsid w:val="00AD5FC9"/>
    <w:rsid w:val="00AD7965"/>
    <w:rsid w:val="00AE707A"/>
    <w:rsid w:val="00AF5EE4"/>
    <w:rsid w:val="00AF701E"/>
    <w:rsid w:val="00B107FE"/>
    <w:rsid w:val="00B150FB"/>
    <w:rsid w:val="00B71ECE"/>
    <w:rsid w:val="00BB321B"/>
    <w:rsid w:val="00BB3D95"/>
    <w:rsid w:val="00BD6511"/>
    <w:rsid w:val="00BE4CDA"/>
    <w:rsid w:val="00C055BB"/>
    <w:rsid w:val="00C1165D"/>
    <w:rsid w:val="00C11F3C"/>
    <w:rsid w:val="00C17FF6"/>
    <w:rsid w:val="00C6577D"/>
    <w:rsid w:val="00C72EEA"/>
    <w:rsid w:val="00C8075C"/>
    <w:rsid w:val="00CF44AC"/>
    <w:rsid w:val="00CF7F9D"/>
    <w:rsid w:val="00D53B94"/>
    <w:rsid w:val="00D6239E"/>
    <w:rsid w:val="00D71703"/>
    <w:rsid w:val="00DC3A7F"/>
    <w:rsid w:val="00DE7D7B"/>
    <w:rsid w:val="00E53F8E"/>
    <w:rsid w:val="00E854D8"/>
    <w:rsid w:val="00E911CF"/>
    <w:rsid w:val="00E91A57"/>
    <w:rsid w:val="00E93885"/>
    <w:rsid w:val="00EB7688"/>
    <w:rsid w:val="00ED50AC"/>
    <w:rsid w:val="00F12748"/>
    <w:rsid w:val="00F162FF"/>
    <w:rsid w:val="00F169BD"/>
    <w:rsid w:val="00F274D0"/>
    <w:rsid w:val="00F668B0"/>
    <w:rsid w:val="00F76F85"/>
    <w:rsid w:val="00F8795E"/>
    <w:rsid w:val="00F9762C"/>
    <w:rsid w:val="00F9794E"/>
    <w:rsid w:val="00FA0ABD"/>
    <w:rsid w:val="00FD08FD"/>
    <w:rsid w:val="00FF48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F5A13"/>
  <w15:docId w15:val="{55D21748-71B4-48F5-9EA3-EBA45B9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214"/>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450214"/>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450214"/>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450214"/>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450214"/>
    <w:rPr>
      <w:rFonts w:ascii="Arial" w:eastAsia="Times New Roman" w:hAnsi="Arial" w:cs="Times New Roman"/>
      <w:b/>
      <w:caps/>
      <w:sz w:val="30"/>
      <w:szCs w:val="20"/>
      <w:lang w:eastAsia="es-MX"/>
    </w:rPr>
  </w:style>
  <w:style w:type="character" w:customStyle="1" w:styleId="corte4fondoCar1">
    <w:name w:val="corte4 fondo Car1"/>
    <w:link w:val="corte4fondo"/>
    <w:rsid w:val="00450214"/>
    <w:rPr>
      <w:rFonts w:ascii="Arial" w:eastAsia="Times New Roman" w:hAnsi="Arial" w:cs="Times New Roman"/>
      <w:sz w:val="30"/>
      <w:szCs w:val="20"/>
      <w:lang w:eastAsia="es-MX"/>
    </w:rPr>
  </w:style>
  <w:style w:type="character" w:customStyle="1" w:styleId="corte1datosCar">
    <w:name w:val="corte1 datos Car"/>
    <w:link w:val="corte1datos"/>
    <w:rsid w:val="00450214"/>
    <w:rPr>
      <w:rFonts w:ascii="Arial" w:eastAsia="Times New Roman" w:hAnsi="Arial" w:cs="Times New Roman"/>
      <w:b/>
      <w:caps/>
      <w:sz w:val="30"/>
      <w:szCs w:val="20"/>
      <w:lang w:eastAsia="es-MX"/>
    </w:rPr>
  </w:style>
  <w:style w:type="paragraph" w:styleId="Encabezado">
    <w:name w:val="header"/>
    <w:basedOn w:val="Normal"/>
    <w:link w:val="EncabezadoCar"/>
    <w:unhideWhenUsed/>
    <w:rsid w:val="00450214"/>
    <w:pPr>
      <w:tabs>
        <w:tab w:val="center" w:pos="4419"/>
        <w:tab w:val="right" w:pos="8838"/>
      </w:tabs>
      <w:spacing w:after="0" w:line="240" w:lineRule="auto"/>
    </w:pPr>
  </w:style>
  <w:style w:type="character" w:customStyle="1" w:styleId="EncabezadoCar">
    <w:name w:val="Encabezado Car"/>
    <w:basedOn w:val="Fuentedeprrafopredeter"/>
    <w:link w:val="Encabezado"/>
    <w:rsid w:val="00450214"/>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callout"/>
    <w:basedOn w:val="Fuentedeprrafopredeter"/>
    <w:uiPriority w:val="99"/>
    <w:unhideWhenUsed/>
    <w:qFormat/>
    <w:rsid w:val="00450214"/>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450214"/>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50214"/>
    <w:rPr>
      <w:rFonts w:ascii="Calibri" w:eastAsia="Calibri" w:hAnsi="Calibri" w:cs="Times New Roman"/>
      <w:sz w:val="20"/>
      <w:szCs w:val="20"/>
    </w:rPr>
  </w:style>
  <w:style w:type="paragraph" w:styleId="NormalWeb">
    <w:name w:val="Normal (Web)"/>
    <w:basedOn w:val="Normal"/>
    <w:uiPriority w:val="99"/>
    <w:rsid w:val="00450214"/>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450214"/>
    <w:pPr>
      <w:spacing w:after="0" w:line="360" w:lineRule="auto"/>
      <w:ind w:left="720"/>
      <w:contextualSpacing/>
      <w:jc w:val="both"/>
    </w:pPr>
    <w:rPr>
      <w:rFonts w:eastAsia="Times New Roman"/>
      <w:sz w:val="26"/>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450214"/>
    <w:rPr>
      <w:rFonts w:ascii="Calibri" w:eastAsia="Times New Roman" w:hAnsi="Calibri" w:cs="Times New Roman"/>
      <w:sz w:val="26"/>
      <w:szCs w:val="24"/>
      <w:lang w:val="es-ES" w:eastAsia="es-ES"/>
    </w:rPr>
  </w:style>
  <w:style w:type="character" w:styleId="Hipervnculo">
    <w:name w:val="Hyperlink"/>
    <w:basedOn w:val="Fuentedeprrafopredeter"/>
    <w:uiPriority w:val="99"/>
    <w:unhideWhenUsed/>
    <w:rsid w:val="00450214"/>
    <w:rPr>
      <w:color w:val="0563C1" w:themeColor="hyperlink"/>
      <w:u w:val="single"/>
    </w:rPr>
  </w:style>
  <w:style w:type="paragraph" w:styleId="Piedepgina">
    <w:name w:val="footer"/>
    <w:basedOn w:val="Normal"/>
    <w:link w:val="PiedepginaCar"/>
    <w:uiPriority w:val="99"/>
    <w:unhideWhenUsed/>
    <w:rsid w:val="004502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214"/>
    <w:rPr>
      <w:rFonts w:ascii="Calibri" w:eastAsia="Calibri" w:hAnsi="Calibri" w:cs="Times New Roman"/>
    </w:rPr>
  </w:style>
  <w:style w:type="paragraph" w:customStyle="1" w:styleId="Default">
    <w:name w:val="Default"/>
    <w:rsid w:val="008A7335"/>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independiente">
    <w:name w:val="Body Text"/>
    <w:basedOn w:val="Normal"/>
    <w:link w:val="TextoindependienteCar"/>
    <w:uiPriority w:val="99"/>
    <w:semiHidden/>
    <w:unhideWhenUsed/>
    <w:rsid w:val="004C24D9"/>
    <w:pPr>
      <w:spacing w:after="120"/>
    </w:pPr>
  </w:style>
  <w:style w:type="character" w:customStyle="1" w:styleId="TextoindependienteCar">
    <w:name w:val="Texto independiente Car"/>
    <w:basedOn w:val="Fuentedeprrafopredeter"/>
    <w:link w:val="Textoindependiente"/>
    <w:uiPriority w:val="99"/>
    <w:semiHidden/>
    <w:rsid w:val="004C24D9"/>
    <w:rPr>
      <w:rFonts w:ascii="Calibri" w:eastAsia="Calibri" w:hAnsi="Calibri" w:cs="Times New Roman"/>
    </w:rPr>
  </w:style>
  <w:style w:type="paragraph" w:styleId="Textoindependienteprimerasangra">
    <w:name w:val="Body Text First Indent"/>
    <w:basedOn w:val="Textoindependiente"/>
    <w:link w:val="TextoindependienteprimerasangraCar"/>
    <w:rsid w:val="004C24D9"/>
    <w:pPr>
      <w:spacing w:line="360" w:lineRule="auto"/>
      <w:ind w:firstLine="210"/>
      <w:jc w:val="both"/>
    </w:pPr>
    <w:rPr>
      <w:rFonts w:asciiTheme="minorHAnsi" w:eastAsia="Times New Roman" w:hAnsiTheme="minorHAnsi"/>
      <w:sz w:val="26"/>
      <w:szCs w:val="24"/>
      <w:lang w:val="es-ES" w:eastAsia="es-ES"/>
    </w:rPr>
  </w:style>
  <w:style w:type="character" w:customStyle="1" w:styleId="TextoindependienteprimerasangraCar">
    <w:name w:val="Texto independiente primera sangría Car"/>
    <w:basedOn w:val="TextoindependienteCar"/>
    <w:link w:val="Textoindependienteprimerasangra"/>
    <w:rsid w:val="004C24D9"/>
    <w:rPr>
      <w:rFonts w:ascii="Calibri" w:eastAsia="Times New Roman" w:hAnsi="Calibri" w:cs="Times New Roman"/>
      <w:sz w:val="26"/>
      <w:szCs w:val="24"/>
      <w:lang w:val="es-ES" w:eastAsia="es-ES"/>
    </w:rPr>
  </w:style>
  <w:style w:type="paragraph" w:styleId="Textodeglobo">
    <w:name w:val="Balloon Text"/>
    <w:basedOn w:val="Normal"/>
    <w:link w:val="TextodegloboCar"/>
    <w:uiPriority w:val="99"/>
    <w:semiHidden/>
    <w:unhideWhenUsed/>
    <w:rsid w:val="00626B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6B9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quilesbeazapregunta@gmail.com)" TargetMode="External"/><Relationship Id="rId5" Type="http://schemas.openxmlformats.org/officeDocument/2006/relationships/footnotes" Target="footnotes.xml"/><Relationship Id="rId10" Type="http://schemas.openxmlformats.org/officeDocument/2006/relationships/hyperlink" Target="mailto:aquilesbeazapregunta@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1100</TotalTime>
  <Pages>19</Pages>
  <Words>7161</Words>
  <Characters>39387</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53</cp:revision>
  <cp:lastPrinted>2018-12-11T19:02:00Z</cp:lastPrinted>
  <dcterms:created xsi:type="dcterms:W3CDTF">2018-11-14T17:42:00Z</dcterms:created>
  <dcterms:modified xsi:type="dcterms:W3CDTF">2019-01-09T21:03:00Z</dcterms:modified>
</cp:coreProperties>
</file>