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282" w:rsidRPr="00503EDD" w:rsidRDefault="001B5E97" w:rsidP="001B5E97">
      <w:pPr>
        <w:jc w:val="both"/>
        <w:rPr>
          <w:rFonts w:ascii="Century Gothic" w:hAnsi="Century Gothic"/>
          <w:b/>
        </w:rPr>
      </w:pPr>
      <w:r w:rsidRPr="00503EDD">
        <w:rPr>
          <w:rFonts w:ascii="Century Gothic" w:hAnsi="Century Gothic"/>
          <w:b/>
        </w:rPr>
        <w:t>Este mes no se generaron resoluciones que emita el Comité de Transparencia de este Instituto Estatal de Educación para Adultos.</w:t>
      </w:r>
    </w:p>
    <w:sectPr w:rsidR="006B5282" w:rsidRPr="00503EDD" w:rsidSect="006B52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1B5E97"/>
    <w:rsid w:val="001B5E97"/>
    <w:rsid w:val="00503EDD"/>
    <w:rsid w:val="006B5282"/>
    <w:rsid w:val="00FC7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528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IEEA</cp:lastModifiedBy>
  <cp:revision>2</cp:revision>
  <dcterms:created xsi:type="dcterms:W3CDTF">2018-07-09T14:28:00Z</dcterms:created>
  <dcterms:modified xsi:type="dcterms:W3CDTF">2018-07-20T19:19:00Z</dcterms:modified>
</cp:coreProperties>
</file>