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E08" w:rsidRDefault="008E6E08" w:rsidP="00757C36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TESIS 03/</w:t>
      </w:r>
      <w:r w:rsidRPr="008E6E08">
        <w:rPr>
          <w:rFonts w:ascii="Arial" w:hAnsi="Arial" w:cs="Arial"/>
          <w:b/>
        </w:rPr>
        <w:t>2019</w:t>
      </w:r>
    </w:p>
    <w:p w:rsidR="00757C36" w:rsidRPr="008E6E08" w:rsidRDefault="00757C36" w:rsidP="00757C36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</w:p>
    <w:p w:rsidR="008E6E08" w:rsidRPr="008E6E08" w:rsidRDefault="008E6E08" w:rsidP="008E6E08">
      <w:pPr>
        <w:spacing w:before="0" w:beforeAutospacing="0" w:after="0" w:afterAutospacing="0"/>
        <w:rPr>
          <w:rFonts w:ascii="Arial" w:hAnsi="Arial"/>
          <w:color w:val="000000"/>
        </w:rPr>
      </w:pPr>
      <w:r w:rsidRPr="008E6E08">
        <w:rPr>
          <w:rFonts w:ascii="Arial" w:hAnsi="Arial"/>
          <w:b/>
          <w:color w:val="000000"/>
        </w:rPr>
        <w:t xml:space="preserve">VIOLENCIA FAMILIAR. INTERPRETACIÓN DEL ARTÍCULO 92 DEL CÓDIGO FAMILIAR DEL ESTADO, EN CASO DE QUE EXISTA LA. </w:t>
      </w:r>
      <w:r w:rsidRPr="008E6E08">
        <w:rPr>
          <w:rFonts w:ascii="Arial" w:hAnsi="Arial"/>
          <w:color w:val="000000"/>
        </w:rPr>
        <w:t>El artículo 92 del Código Familiar del Estado, en su parte conducente prevé que la protección para las o los menores de edad incluirá las medidas de seguridad, seguimiento y terapias necesarias para evitar y corregir los actos de violencia familiar, las cuales podrán ser suspendidas o modificadas en los términos establecidos por el numeral 90 del Código de Procedimientos Civiles del Estado; de ahí que, de dicho fundamento legal se desprende que el juzgador que conozca de un asunto de divorcio en el que además se ventilen las cuestiones inherentes a la patria potestad, tales como un régimen de visita y convivencia, la custodia, el cuidado de los hijos menores de edad y sus alimentos, y en el que además se alegue la existencia de cualquier tipo de violencia familiar o de alienación parental, tiene la obligación de ordenar de manera oficiosa o a petición de parte</w:t>
      </w:r>
      <w:r>
        <w:rPr>
          <w:rFonts w:ascii="Arial" w:hAnsi="Arial"/>
          <w:color w:val="000000"/>
        </w:rPr>
        <w:t>,</w:t>
      </w:r>
      <w:r w:rsidRPr="008E6E08">
        <w:rPr>
          <w:rFonts w:ascii="Arial" w:hAnsi="Arial"/>
          <w:color w:val="000000"/>
        </w:rPr>
        <w:t xml:space="preserve"> las medidas de seguridad que considere necesarias y su seguimiento, así como las valoraciones psico</w:t>
      </w:r>
      <w:r>
        <w:rPr>
          <w:rFonts w:ascii="Arial" w:hAnsi="Arial"/>
          <w:color w:val="000000"/>
        </w:rPr>
        <w:t>lógicas conducentes a través de los</w:t>
      </w:r>
      <w:r w:rsidRPr="008E6E08">
        <w:rPr>
          <w:rFonts w:ascii="Arial" w:hAnsi="Arial"/>
          <w:color w:val="000000"/>
        </w:rPr>
        <w:t xml:space="preserve"> especialista</w:t>
      </w:r>
      <w:r>
        <w:rPr>
          <w:rFonts w:ascii="Arial" w:hAnsi="Arial"/>
          <w:color w:val="000000"/>
        </w:rPr>
        <w:t>s</w:t>
      </w:r>
      <w:r w:rsidRPr="008E6E08">
        <w:rPr>
          <w:rFonts w:ascii="Arial" w:hAnsi="Arial"/>
          <w:color w:val="000000"/>
        </w:rPr>
        <w:t xml:space="preserve"> en</w:t>
      </w:r>
      <w:r>
        <w:rPr>
          <w:rFonts w:ascii="Arial" w:hAnsi="Arial"/>
          <w:color w:val="000000"/>
        </w:rPr>
        <w:t xml:space="preserve"> la materia de psicología, </w:t>
      </w:r>
      <w:r w:rsidRPr="008E6E08">
        <w:rPr>
          <w:rFonts w:ascii="Arial" w:hAnsi="Arial"/>
          <w:color w:val="000000"/>
        </w:rPr>
        <w:t>para que</w:t>
      </w:r>
      <w:r>
        <w:rPr>
          <w:rFonts w:ascii="Arial" w:hAnsi="Arial"/>
          <w:color w:val="000000"/>
        </w:rPr>
        <w:t xml:space="preserve"> valoren y</w:t>
      </w:r>
      <w:r w:rsidRPr="008E6E08">
        <w:rPr>
          <w:rFonts w:ascii="Arial" w:hAnsi="Arial"/>
          <w:color w:val="000000"/>
        </w:rPr>
        <w:t xml:space="preserve"> determine</w:t>
      </w:r>
      <w:r>
        <w:rPr>
          <w:rFonts w:ascii="Arial" w:hAnsi="Arial"/>
          <w:color w:val="000000"/>
        </w:rPr>
        <w:t>n</w:t>
      </w:r>
      <w:r w:rsidRPr="008E6E08">
        <w:rPr>
          <w:rFonts w:ascii="Arial" w:hAnsi="Arial"/>
          <w:color w:val="000000"/>
        </w:rPr>
        <w:t xml:space="preserve"> el proceso terapéutico ya sea individual o grupal que los agresores y la víctima o víctimas del grupo familiar deban se</w:t>
      </w:r>
      <w:r>
        <w:rPr>
          <w:rFonts w:ascii="Arial" w:hAnsi="Arial"/>
          <w:color w:val="000000"/>
        </w:rPr>
        <w:t>guir para evitar y corregir</w:t>
      </w:r>
      <w:r w:rsidRPr="008E6E08">
        <w:rPr>
          <w:rFonts w:ascii="Arial" w:hAnsi="Arial"/>
          <w:color w:val="000000"/>
        </w:rPr>
        <w:t xml:space="preserve"> esos actos de violencia familiar o incluso en el supuesto de la alienación parental, pues esas valoraciones y procesos terapéuticos, tienen por objeto el subsanar los daños psicológicos que pudieran existir en la familia a consecuencia de esa violencia familiar o alienación parental, y más en tratándose de menores de edad, por lo que, en esos casos, el Juez tiene que actuar bajo los estándares de protección al “interés superior de la infancia”; de ahí que, si el invocado numeral 92 prevé el seguimiento y las terapias necesarias para evitar y corregir los actos de violencia familiar, es que, sin las respectivas valoraciones psicológicas y procesos terapéuticos conducentes, el juzgador, al no contar con todos los elementos de prueba necesarios para decidir las cuestiones sometidas a su potestad, estará impedido para dictar sentencia. </w:t>
      </w:r>
    </w:p>
    <w:p w:rsidR="008E6E08" w:rsidRPr="008E6E08" w:rsidRDefault="008E6E08" w:rsidP="008E6E08">
      <w:pPr>
        <w:spacing w:before="0" w:beforeAutospacing="0" w:after="0" w:afterAutospacing="0"/>
        <w:rPr>
          <w:rFonts w:ascii="Arial" w:hAnsi="Arial"/>
          <w:color w:val="000000"/>
        </w:rPr>
      </w:pPr>
    </w:p>
    <w:p w:rsidR="008E6E08" w:rsidRPr="00757C36" w:rsidRDefault="008E6E08" w:rsidP="008E6E08">
      <w:pPr>
        <w:spacing w:before="0" w:beforeAutospacing="0" w:after="0" w:afterAutospacing="0"/>
        <w:rPr>
          <w:rFonts w:ascii="Arial" w:hAnsi="Arial" w:cs="Arial"/>
        </w:rPr>
      </w:pPr>
      <w:r w:rsidRPr="00757C36">
        <w:rPr>
          <w:rFonts w:ascii="Arial" w:hAnsi="Arial" w:cs="Arial"/>
        </w:rPr>
        <w:t>TERCERA SALA DEL SUPREMO TRIBUNAL DE JUSTICIA DEL ESTADO</w:t>
      </w:r>
      <w:r w:rsidR="00EB33A7" w:rsidRPr="00757C36">
        <w:rPr>
          <w:rFonts w:ascii="Arial" w:hAnsi="Arial" w:cs="Arial"/>
        </w:rPr>
        <w:t>.</w:t>
      </w:r>
    </w:p>
    <w:p w:rsidR="00A452B8" w:rsidRPr="00757C36" w:rsidRDefault="00EB33A7" w:rsidP="008E6E08">
      <w:pPr>
        <w:spacing w:before="0" w:beforeAutospacing="0" w:after="0" w:afterAutospacing="0"/>
        <w:rPr>
          <w:rFonts w:ascii="Arial" w:hAnsi="Arial" w:cs="Arial"/>
        </w:rPr>
      </w:pPr>
      <w:r w:rsidRPr="00757C36">
        <w:rPr>
          <w:rFonts w:ascii="Arial" w:hAnsi="Arial" w:cs="Arial"/>
        </w:rPr>
        <w:t>Apelación 48-2019</w:t>
      </w:r>
      <w:r w:rsidR="008E6E08" w:rsidRPr="00757C36">
        <w:rPr>
          <w:rFonts w:ascii="Arial" w:hAnsi="Arial" w:cs="Arial"/>
        </w:rPr>
        <w:t xml:space="preserve">. </w:t>
      </w:r>
      <w:r w:rsidR="008E6E08" w:rsidRPr="00757C36">
        <w:rPr>
          <w:rFonts w:ascii="Arial" w:eastAsia="Batang" w:hAnsi="Arial" w:cs="Arial"/>
        </w:rPr>
        <w:t>Juan Manuel Carranco Rivera y Bertha Adriana López Vargas</w:t>
      </w:r>
      <w:r w:rsidR="008E6E08" w:rsidRPr="00757C36">
        <w:rPr>
          <w:rFonts w:ascii="Arial" w:hAnsi="Arial" w:cs="Arial"/>
        </w:rPr>
        <w:t xml:space="preserve">. 27 de febrero de 2019. Unanimidad de votos. </w:t>
      </w:r>
      <w:r w:rsidR="008E6E08" w:rsidRPr="00757C36">
        <w:rPr>
          <w:rFonts w:ascii="Arial" w:hAnsi="Arial" w:cs="Arial"/>
          <w:b/>
        </w:rPr>
        <w:t>Ponente: Magistrada María del Rocío Hernández Cruz.</w:t>
      </w:r>
      <w:r w:rsidR="008E6E08" w:rsidRPr="00757C36">
        <w:rPr>
          <w:rFonts w:ascii="Arial" w:hAnsi="Arial" w:cs="Arial"/>
        </w:rPr>
        <w:t xml:space="preserve"> Secretario de Estudio y Cuenta. Mtro. Miguel Oscar Rodríguez Castañeda.</w:t>
      </w:r>
    </w:p>
    <w:sectPr w:rsidR="00A452B8" w:rsidRPr="00757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E08"/>
    <w:rsid w:val="003B2A94"/>
    <w:rsid w:val="006D40C5"/>
    <w:rsid w:val="006D56BA"/>
    <w:rsid w:val="007430F4"/>
    <w:rsid w:val="00757C36"/>
    <w:rsid w:val="008E6E08"/>
    <w:rsid w:val="00A452B8"/>
    <w:rsid w:val="00A56E4A"/>
    <w:rsid w:val="00BB281E"/>
    <w:rsid w:val="00EB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08"/>
    <w:pPr>
      <w:spacing w:before="100" w:beforeAutospacing="1" w:after="100" w:afterAutospacing="1"/>
      <w:jc w:val="both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56E4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E4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08"/>
    <w:pPr>
      <w:spacing w:before="100" w:beforeAutospacing="1" w:after="100" w:afterAutospacing="1"/>
      <w:jc w:val="both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56E4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E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OSCAR RODRIGUEZ CASTAÑEDA</dc:creator>
  <cp:keywords/>
  <dc:description/>
  <cp:lastModifiedBy>PATRICIA JOVER SAGUN</cp:lastModifiedBy>
  <cp:revision>2</cp:revision>
  <cp:lastPrinted>2019-03-07T15:37:00Z</cp:lastPrinted>
  <dcterms:created xsi:type="dcterms:W3CDTF">2019-03-12T20:25:00Z</dcterms:created>
  <dcterms:modified xsi:type="dcterms:W3CDTF">2019-03-12T20:25:00Z</dcterms:modified>
</cp:coreProperties>
</file>