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30D6" w:rsidRPr="00E020E8" w:rsidRDefault="00AD7736" w:rsidP="00E020E8">
      <w:pPr>
        <w:spacing w:after="0"/>
        <w:ind w:left="2552"/>
        <w:jc w:val="right"/>
        <w:rPr>
          <w:rFonts w:ascii="Arial" w:hAnsi="Arial" w:cs="Arial"/>
          <w:b/>
          <w:color w:val="2E74B5" w:themeColor="accent1" w:themeShade="BF"/>
          <w:sz w:val="24"/>
          <w:szCs w:val="24"/>
        </w:rPr>
      </w:pPr>
      <w:r w:rsidRPr="00E020E8">
        <w:rPr>
          <w:rFonts w:ascii="Arial" w:hAnsi="Arial" w:cs="Arial"/>
          <w:b/>
          <w:color w:val="2E74B5" w:themeColor="accent1" w:themeShade="BF"/>
          <w:sz w:val="24"/>
          <w:szCs w:val="24"/>
        </w:rPr>
        <w:t>RECURSO DE REVISIÓN 749</w:t>
      </w:r>
      <w:r w:rsidR="006E30D6" w:rsidRPr="00E020E8">
        <w:rPr>
          <w:rFonts w:ascii="Arial" w:hAnsi="Arial" w:cs="Arial"/>
          <w:b/>
          <w:color w:val="2E74B5" w:themeColor="accent1" w:themeShade="BF"/>
          <w:sz w:val="24"/>
          <w:szCs w:val="24"/>
        </w:rPr>
        <w:t>/2018-2.</w:t>
      </w:r>
    </w:p>
    <w:p w:rsidR="006E30D6" w:rsidRPr="00E020E8" w:rsidRDefault="006E30D6" w:rsidP="00E020E8">
      <w:pPr>
        <w:spacing w:after="0"/>
        <w:ind w:left="2552"/>
        <w:jc w:val="right"/>
        <w:rPr>
          <w:rFonts w:ascii="Arial" w:hAnsi="Arial" w:cs="Arial"/>
          <w:b/>
          <w:color w:val="2E74B5" w:themeColor="accent1" w:themeShade="BF"/>
          <w:sz w:val="24"/>
          <w:szCs w:val="24"/>
        </w:rPr>
      </w:pPr>
    </w:p>
    <w:p w:rsidR="006E30D6" w:rsidRPr="00E020E8" w:rsidRDefault="006E30D6" w:rsidP="00E020E8">
      <w:pPr>
        <w:spacing w:after="0"/>
        <w:ind w:left="2552"/>
        <w:jc w:val="right"/>
        <w:rPr>
          <w:rFonts w:ascii="Arial" w:eastAsia="Times New Roman" w:hAnsi="Arial" w:cs="Arial"/>
          <w:b/>
          <w:caps/>
          <w:color w:val="2E74B5" w:themeColor="accent1" w:themeShade="BF"/>
          <w:sz w:val="24"/>
          <w:szCs w:val="24"/>
          <w:lang w:eastAsia="es-MX"/>
        </w:rPr>
      </w:pPr>
    </w:p>
    <w:p w:rsidR="006E30D6" w:rsidRPr="00E020E8" w:rsidRDefault="006E30D6" w:rsidP="00E020E8">
      <w:pPr>
        <w:spacing w:after="0"/>
        <w:jc w:val="right"/>
        <w:rPr>
          <w:rFonts w:ascii="Arial" w:eastAsia="Times New Roman" w:hAnsi="Arial" w:cs="Arial"/>
          <w:b/>
          <w:caps/>
          <w:color w:val="2E74B5" w:themeColor="accent1" w:themeShade="BF"/>
          <w:sz w:val="24"/>
          <w:szCs w:val="24"/>
          <w:lang w:eastAsia="es-MX"/>
        </w:rPr>
      </w:pPr>
      <w:r w:rsidRPr="00E020E8">
        <w:rPr>
          <w:rFonts w:ascii="Arial" w:eastAsia="Times New Roman" w:hAnsi="Arial" w:cs="Arial"/>
          <w:b/>
          <w:caps/>
          <w:color w:val="2E74B5" w:themeColor="accent1" w:themeShade="BF"/>
          <w:sz w:val="24"/>
          <w:szCs w:val="24"/>
          <w:lang w:eastAsia="es-MX"/>
        </w:rPr>
        <w:t xml:space="preserve">COMISIONADO PONENTE: </w:t>
      </w:r>
    </w:p>
    <w:p w:rsidR="006E30D6" w:rsidRPr="00E020E8" w:rsidRDefault="006E30D6" w:rsidP="00E020E8">
      <w:pPr>
        <w:spacing w:after="0"/>
        <w:jc w:val="right"/>
        <w:rPr>
          <w:rFonts w:ascii="Arial" w:eastAsia="Times New Roman" w:hAnsi="Arial" w:cs="Arial"/>
          <w:b/>
          <w:caps/>
          <w:color w:val="2E74B5" w:themeColor="accent1" w:themeShade="BF"/>
          <w:sz w:val="24"/>
          <w:szCs w:val="24"/>
          <w:lang w:eastAsia="es-MX"/>
        </w:rPr>
      </w:pPr>
      <w:r w:rsidRPr="00E020E8">
        <w:rPr>
          <w:rFonts w:ascii="Arial" w:eastAsia="Times New Roman" w:hAnsi="Arial" w:cs="Arial"/>
          <w:b/>
          <w:caps/>
          <w:color w:val="2E74B5" w:themeColor="accent1" w:themeShade="BF"/>
          <w:sz w:val="24"/>
          <w:szCs w:val="24"/>
          <w:lang w:eastAsia="es-MX"/>
        </w:rPr>
        <w:t>pAULINA SÁNCHEZ PÉREZ DEL POZO</w:t>
      </w:r>
    </w:p>
    <w:p w:rsidR="006E30D6" w:rsidRPr="00E020E8" w:rsidRDefault="006E30D6" w:rsidP="00E020E8">
      <w:pPr>
        <w:spacing w:after="0"/>
        <w:jc w:val="right"/>
        <w:rPr>
          <w:rFonts w:ascii="Arial" w:eastAsia="Times New Roman" w:hAnsi="Arial" w:cs="Arial"/>
          <w:b/>
          <w:caps/>
          <w:color w:val="2E74B5" w:themeColor="accent1" w:themeShade="BF"/>
          <w:sz w:val="24"/>
          <w:szCs w:val="24"/>
          <w:lang w:eastAsia="es-MX"/>
        </w:rPr>
      </w:pPr>
    </w:p>
    <w:p w:rsidR="006E30D6" w:rsidRPr="00E020E8" w:rsidRDefault="006E30D6" w:rsidP="00E020E8">
      <w:pPr>
        <w:spacing w:after="0"/>
        <w:jc w:val="right"/>
        <w:rPr>
          <w:rFonts w:ascii="Arial" w:eastAsia="Times New Roman" w:hAnsi="Arial" w:cs="Arial"/>
          <w:b/>
          <w:caps/>
          <w:color w:val="2E74B5" w:themeColor="accent1" w:themeShade="BF"/>
          <w:sz w:val="24"/>
          <w:szCs w:val="24"/>
          <w:lang w:eastAsia="es-MX"/>
        </w:rPr>
      </w:pPr>
      <w:r w:rsidRPr="00E020E8">
        <w:rPr>
          <w:rFonts w:ascii="Arial" w:eastAsia="Times New Roman" w:hAnsi="Arial" w:cs="Arial"/>
          <w:b/>
          <w:caps/>
          <w:color w:val="2E74B5" w:themeColor="accent1" w:themeShade="BF"/>
          <w:sz w:val="24"/>
          <w:szCs w:val="24"/>
          <w:lang w:eastAsia="es-MX"/>
        </w:rPr>
        <w:t>MATERIA:</w:t>
      </w:r>
    </w:p>
    <w:p w:rsidR="006E30D6" w:rsidRPr="00E020E8" w:rsidRDefault="006E30D6" w:rsidP="00E020E8">
      <w:pPr>
        <w:spacing w:after="0"/>
        <w:jc w:val="right"/>
        <w:rPr>
          <w:rFonts w:ascii="Arial" w:eastAsia="Times New Roman" w:hAnsi="Arial" w:cs="Arial"/>
          <w:b/>
          <w:caps/>
          <w:color w:val="2E74B5" w:themeColor="accent1" w:themeShade="BF"/>
          <w:sz w:val="24"/>
          <w:szCs w:val="24"/>
          <w:lang w:eastAsia="es-MX"/>
        </w:rPr>
      </w:pPr>
      <w:r w:rsidRPr="00E020E8">
        <w:rPr>
          <w:rFonts w:ascii="Arial" w:eastAsia="Times New Roman" w:hAnsi="Arial" w:cs="Arial"/>
          <w:b/>
          <w:caps/>
          <w:color w:val="2E74B5" w:themeColor="accent1" w:themeShade="BF"/>
          <w:sz w:val="24"/>
          <w:szCs w:val="24"/>
          <w:lang w:eastAsia="es-MX"/>
        </w:rPr>
        <w:t>ACCESO A LA INFORMACIÓN PÚBLICA</w:t>
      </w:r>
    </w:p>
    <w:p w:rsidR="006E30D6" w:rsidRPr="00E020E8" w:rsidRDefault="006E30D6" w:rsidP="00E020E8">
      <w:pPr>
        <w:spacing w:after="0"/>
        <w:jc w:val="right"/>
        <w:rPr>
          <w:rFonts w:ascii="Arial" w:eastAsia="Times New Roman" w:hAnsi="Arial" w:cs="Arial"/>
          <w:b/>
          <w:caps/>
          <w:color w:val="2E74B5" w:themeColor="accent1" w:themeShade="BF"/>
          <w:sz w:val="24"/>
          <w:szCs w:val="24"/>
          <w:lang w:eastAsia="es-MX"/>
        </w:rPr>
      </w:pPr>
    </w:p>
    <w:p w:rsidR="006E30D6" w:rsidRPr="00E020E8" w:rsidRDefault="006E30D6" w:rsidP="00E020E8">
      <w:pPr>
        <w:spacing w:after="0"/>
        <w:jc w:val="right"/>
        <w:rPr>
          <w:rFonts w:ascii="Arial" w:eastAsia="Times New Roman" w:hAnsi="Arial" w:cs="Arial"/>
          <w:b/>
          <w:caps/>
          <w:color w:val="2E74B5" w:themeColor="accent1" w:themeShade="BF"/>
          <w:sz w:val="24"/>
          <w:szCs w:val="24"/>
          <w:lang w:eastAsia="es-MX"/>
        </w:rPr>
      </w:pPr>
      <w:r w:rsidRPr="00E020E8">
        <w:rPr>
          <w:rFonts w:ascii="Arial" w:eastAsia="Times New Roman" w:hAnsi="Arial" w:cs="Arial"/>
          <w:b/>
          <w:caps/>
          <w:color w:val="2E74B5" w:themeColor="accent1" w:themeShade="BF"/>
          <w:sz w:val="24"/>
          <w:szCs w:val="24"/>
          <w:lang w:eastAsia="es-MX"/>
        </w:rPr>
        <w:t>SUJETO OBLIGADO:</w:t>
      </w:r>
    </w:p>
    <w:p w:rsidR="006E30D6" w:rsidRPr="00E020E8" w:rsidRDefault="006E30D6" w:rsidP="00E020E8">
      <w:pPr>
        <w:spacing w:after="0"/>
        <w:jc w:val="right"/>
        <w:rPr>
          <w:rFonts w:ascii="Arial" w:eastAsia="Times New Roman" w:hAnsi="Arial" w:cs="Arial"/>
          <w:b/>
          <w:caps/>
          <w:color w:val="2E74B5" w:themeColor="accent1" w:themeShade="BF"/>
          <w:sz w:val="24"/>
          <w:szCs w:val="24"/>
          <w:lang w:eastAsia="es-MX"/>
        </w:rPr>
      </w:pPr>
      <w:r w:rsidRPr="00E020E8">
        <w:rPr>
          <w:rFonts w:ascii="Arial" w:eastAsia="Times New Roman" w:hAnsi="Arial" w:cs="Arial"/>
          <w:b/>
          <w:color w:val="2E74B5" w:themeColor="accent1" w:themeShade="BF"/>
          <w:sz w:val="24"/>
          <w:szCs w:val="24"/>
          <w:lang w:eastAsia="es-MX"/>
        </w:rPr>
        <w:t>GOBIERNO DEL ESTADO DE SAN LUIS POTOSÍ, POR CONDUCTO DE LA OFICIALÍA MAYOR</w:t>
      </w:r>
    </w:p>
    <w:p w:rsidR="006E30D6" w:rsidRPr="00E020E8" w:rsidRDefault="006E30D6" w:rsidP="00E020E8">
      <w:pPr>
        <w:pStyle w:val="corte2ponente"/>
        <w:spacing w:line="276" w:lineRule="auto"/>
        <w:jc w:val="both"/>
        <w:rPr>
          <w:rFonts w:cs="Arial"/>
          <w:color w:val="2E74B5" w:themeColor="accent1" w:themeShade="BF"/>
          <w:sz w:val="24"/>
          <w:szCs w:val="24"/>
        </w:rPr>
      </w:pPr>
    </w:p>
    <w:p w:rsidR="006E30D6" w:rsidRPr="00E020E8" w:rsidRDefault="006E30D6" w:rsidP="00E020E8">
      <w:pPr>
        <w:pStyle w:val="Textonotapie"/>
        <w:spacing w:after="0"/>
        <w:jc w:val="right"/>
        <w:rPr>
          <w:rFonts w:ascii="Arial" w:hAnsi="Arial" w:cs="Arial"/>
          <w:b/>
          <w:color w:val="2E74B5" w:themeColor="accent1" w:themeShade="BF"/>
          <w:sz w:val="24"/>
          <w:szCs w:val="24"/>
        </w:rPr>
      </w:pPr>
    </w:p>
    <w:p w:rsidR="006E30D6" w:rsidRPr="00E020E8" w:rsidRDefault="006E30D6" w:rsidP="00E020E8">
      <w:pPr>
        <w:pStyle w:val="corte2ponente"/>
        <w:spacing w:line="276" w:lineRule="auto"/>
        <w:jc w:val="right"/>
        <w:rPr>
          <w:rFonts w:cs="Arial"/>
          <w:color w:val="2E74B5" w:themeColor="accent1" w:themeShade="BF"/>
          <w:sz w:val="24"/>
          <w:szCs w:val="24"/>
        </w:rPr>
      </w:pPr>
    </w:p>
    <w:p w:rsidR="006E30D6" w:rsidRPr="00E020E8" w:rsidRDefault="006E30D6" w:rsidP="00E020E8">
      <w:pPr>
        <w:pStyle w:val="corte1datos"/>
        <w:spacing w:line="276" w:lineRule="auto"/>
        <w:jc w:val="both"/>
        <w:rPr>
          <w:rFonts w:cs="Arial"/>
          <w:color w:val="2E74B5" w:themeColor="accent1" w:themeShade="BF"/>
          <w:sz w:val="24"/>
          <w:szCs w:val="24"/>
        </w:rPr>
      </w:pPr>
    </w:p>
    <w:p w:rsidR="006E30D6" w:rsidRPr="00E020E8" w:rsidRDefault="006E30D6" w:rsidP="00E020E8">
      <w:pPr>
        <w:pStyle w:val="corte2ponente"/>
        <w:spacing w:line="276" w:lineRule="auto"/>
        <w:rPr>
          <w:rFonts w:cs="Arial"/>
          <w:color w:val="2E74B5" w:themeColor="accent1" w:themeShade="BF"/>
          <w:sz w:val="24"/>
          <w:szCs w:val="24"/>
        </w:rPr>
      </w:pPr>
    </w:p>
    <w:p w:rsidR="006E30D6" w:rsidRPr="00E020E8" w:rsidRDefault="006E30D6" w:rsidP="00E020E8">
      <w:pPr>
        <w:pStyle w:val="corte2ponente"/>
        <w:spacing w:line="276" w:lineRule="auto"/>
        <w:rPr>
          <w:rFonts w:cs="Arial"/>
          <w:color w:val="2E74B5" w:themeColor="accent1" w:themeShade="BF"/>
          <w:sz w:val="24"/>
          <w:szCs w:val="24"/>
        </w:rPr>
      </w:pPr>
    </w:p>
    <w:p w:rsidR="006E30D6" w:rsidRPr="00E020E8" w:rsidRDefault="006E30D6" w:rsidP="00E020E8">
      <w:pPr>
        <w:spacing w:after="0"/>
        <w:jc w:val="both"/>
        <w:rPr>
          <w:rFonts w:ascii="Arial" w:eastAsia="Times New Roman" w:hAnsi="Arial" w:cs="Arial"/>
          <w:b/>
          <w:color w:val="2E74B5" w:themeColor="accent1" w:themeShade="BF"/>
          <w:sz w:val="24"/>
          <w:szCs w:val="24"/>
          <w:vertAlign w:val="subscript"/>
          <w:lang w:eastAsia="es-MX"/>
        </w:rPr>
      </w:pPr>
      <w:r w:rsidRPr="00E020E8">
        <w:rPr>
          <w:rFonts w:ascii="Arial" w:hAnsi="Arial" w:cs="Arial"/>
          <w:color w:val="2E74B5" w:themeColor="accent1" w:themeShade="BF"/>
          <w:sz w:val="24"/>
          <w:szCs w:val="24"/>
        </w:rPr>
        <w:tab/>
      </w:r>
      <w:r w:rsidRPr="00E020E8">
        <w:rPr>
          <w:rFonts w:ascii="Arial" w:eastAsia="Times New Roman" w:hAnsi="Arial" w:cs="Arial"/>
          <w:color w:val="2E74B5" w:themeColor="accent1" w:themeShade="BF"/>
          <w:sz w:val="24"/>
          <w:szCs w:val="24"/>
          <w:lang w:eastAsia="es-MX"/>
        </w:rPr>
        <w:t>San Luis Potosí, San Luis Potosí. Acuerdo del Pleno de la Comisión Estatal de Garantía de Acceso a la Información Pública, correspondiente a la sesión del 05 cinco de 2018 dos mil dieciocho.</w:t>
      </w:r>
      <w:r w:rsidRPr="00E020E8">
        <w:rPr>
          <w:rFonts w:ascii="Arial" w:eastAsia="Times New Roman" w:hAnsi="Arial" w:cs="Arial"/>
          <w:b/>
          <w:color w:val="2E74B5" w:themeColor="accent1" w:themeShade="BF"/>
          <w:sz w:val="24"/>
          <w:szCs w:val="24"/>
          <w:vertAlign w:val="subscript"/>
          <w:lang w:eastAsia="es-MX"/>
        </w:rPr>
        <w:t xml:space="preserve"> </w:t>
      </w:r>
    </w:p>
    <w:p w:rsidR="006E30D6" w:rsidRPr="00E020E8" w:rsidRDefault="006E30D6" w:rsidP="00E020E8">
      <w:pPr>
        <w:spacing w:after="0"/>
        <w:jc w:val="both"/>
        <w:rPr>
          <w:rFonts w:ascii="Arial" w:eastAsia="Times New Roman" w:hAnsi="Arial" w:cs="Arial"/>
          <w:b/>
          <w:color w:val="2E74B5" w:themeColor="accent1" w:themeShade="BF"/>
          <w:sz w:val="24"/>
          <w:szCs w:val="24"/>
          <w:lang w:eastAsia="es-MX"/>
        </w:rPr>
      </w:pPr>
    </w:p>
    <w:p w:rsidR="006E30D6" w:rsidRPr="00E020E8" w:rsidRDefault="006E30D6" w:rsidP="00E020E8">
      <w:pPr>
        <w:pStyle w:val="corte4fondo"/>
        <w:spacing w:line="276" w:lineRule="auto"/>
        <w:ind w:firstLine="0"/>
        <w:rPr>
          <w:rFonts w:cs="Arial"/>
          <w:b/>
          <w:color w:val="2E74B5" w:themeColor="accent1" w:themeShade="BF"/>
          <w:sz w:val="24"/>
          <w:szCs w:val="24"/>
        </w:rPr>
      </w:pPr>
    </w:p>
    <w:p w:rsidR="006E30D6" w:rsidRPr="00E020E8" w:rsidRDefault="006E30D6" w:rsidP="00E020E8">
      <w:pPr>
        <w:pStyle w:val="corte4fondo"/>
        <w:spacing w:line="276" w:lineRule="auto"/>
        <w:rPr>
          <w:rFonts w:cs="Arial"/>
          <w:color w:val="2E74B5" w:themeColor="accent1" w:themeShade="BF"/>
          <w:sz w:val="24"/>
          <w:szCs w:val="24"/>
        </w:rPr>
      </w:pPr>
      <w:r w:rsidRPr="00E020E8">
        <w:rPr>
          <w:rFonts w:cs="Arial"/>
          <w:b/>
          <w:color w:val="2E74B5" w:themeColor="accent1" w:themeShade="BF"/>
          <w:sz w:val="24"/>
          <w:szCs w:val="24"/>
        </w:rPr>
        <w:t>VISTOS</w:t>
      </w:r>
      <w:r w:rsidRPr="00E020E8">
        <w:rPr>
          <w:rFonts w:cs="Arial"/>
          <w:color w:val="2E74B5" w:themeColor="accent1" w:themeShade="BF"/>
          <w:sz w:val="24"/>
          <w:szCs w:val="24"/>
        </w:rPr>
        <w:t>, para resolver, los autos del recurso de revisión identificado al rubro; y</w:t>
      </w:r>
    </w:p>
    <w:p w:rsidR="006E30D6" w:rsidRPr="00E020E8" w:rsidRDefault="006E30D6" w:rsidP="00E020E8">
      <w:pPr>
        <w:pStyle w:val="corte4fondo"/>
        <w:spacing w:line="276" w:lineRule="auto"/>
        <w:rPr>
          <w:rFonts w:cs="Arial"/>
          <w:color w:val="2E74B5" w:themeColor="accent1" w:themeShade="BF"/>
          <w:sz w:val="24"/>
          <w:szCs w:val="24"/>
        </w:rPr>
      </w:pPr>
    </w:p>
    <w:p w:rsidR="006E30D6" w:rsidRPr="00E020E8" w:rsidRDefault="006E30D6" w:rsidP="00E020E8">
      <w:pPr>
        <w:pStyle w:val="corte4fondo"/>
        <w:spacing w:line="276" w:lineRule="auto"/>
        <w:jc w:val="center"/>
        <w:rPr>
          <w:rFonts w:cs="Arial"/>
          <w:color w:val="2E74B5" w:themeColor="accent1" w:themeShade="BF"/>
          <w:sz w:val="24"/>
          <w:szCs w:val="24"/>
        </w:rPr>
      </w:pPr>
      <w:r w:rsidRPr="00E020E8">
        <w:rPr>
          <w:rFonts w:cs="Arial"/>
          <w:b/>
          <w:color w:val="2E74B5" w:themeColor="accent1" w:themeShade="BF"/>
          <w:sz w:val="24"/>
          <w:szCs w:val="24"/>
        </w:rPr>
        <w:t>RESULTANDO</w:t>
      </w:r>
      <w:r w:rsidRPr="00E020E8">
        <w:rPr>
          <w:rFonts w:cs="Arial"/>
          <w:color w:val="2E74B5" w:themeColor="accent1" w:themeShade="BF"/>
          <w:sz w:val="24"/>
          <w:szCs w:val="24"/>
        </w:rPr>
        <w:t>:</w:t>
      </w:r>
    </w:p>
    <w:p w:rsidR="006E30D6" w:rsidRPr="00E020E8" w:rsidRDefault="006E30D6" w:rsidP="00E020E8">
      <w:pPr>
        <w:pStyle w:val="corte4fondo"/>
        <w:spacing w:line="276" w:lineRule="auto"/>
        <w:jc w:val="center"/>
        <w:rPr>
          <w:rFonts w:cs="Arial"/>
          <w:color w:val="2E74B5" w:themeColor="accent1" w:themeShade="BF"/>
          <w:sz w:val="24"/>
          <w:szCs w:val="24"/>
        </w:rPr>
      </w:pPr>
    </w:p>
    <w:p w:rsidR="006E30D6" w:rsidRPr="00E020E8" w:rsidRDefault="006E30D6" w:rsidP="00E020E8">
      <w:pPr>
        <w:pStyle w:val="corte4fondo"/>
        <w:spacing w:line="276" w:lineRule="auto"/>
        <w:rPr>
          <w:rFonts w:cs="Arial"/>
          <w:color w:val="2E74B5" w:themeColor="accent1" w:themeShade="BF"/>
          <w:sz w:val="24"/>
          <w:szCs w:val="24"/>
        </w:rPr>
      </w:pPr>
      <w:r w:rsidRPr="00E020E8">
        <w:rPr>
          <w:rFonts w:cs="Arial"/>
          <w:b/>
          <w:color w:val="2E74B5" w:themeColor="accent1" w:themeShade="BF"/>
          <w:sz w:val="24"/>
          <w:szCs w:val="24"/>
        </w:rPr>
        <w:t xml:space="preserve">PRIMERO. Solicitud de acceso a la información pública. </w:t>
      </w:r>
      <w:r w:rsidRPr="00E020E8">
        <w:rPr>
          <w:rFonts w:cs="Arial"/>
          <w:color w:val="2E74B5" w:themeColor="accent1" w:themeShade="BF"/>
          <w:sz w:val="24"/>
          <w:szCs w:val="24"/>
        </w:rPr>
        <w:t xml:space="preserve">Según consta en la Plataforma Nacional de Transparencia en el folio </w:t>
      </w:r>
      <w:r w:rsidRPr="00E020E8">
        <w:rPr>
          <w:rFonts w:cs="Arial"/>
          <w:b/>
          <w:color w:val="2E74B5" w:themeColor="accent1" w:themeShade="BF"/>
          <w:sz w:val="24"/>
          <w:szCs w:val="24"/>
        </w:rPr>
        <w:t xml:space="preserve">00600518 </w:t>
      </w:r>
      <w:r w:rsidRPr="00E020E8">
        <w:rPr>
          <w:rFonts w:cs="Arial"/>
          <w:color w:val="2E74B5" w:themeColor="accent1" w:themeShade="BF"/>
          <w:sz w:val="24"/>
          <w:szCs w:val="24"/>
        </w:rPr>
        <w:t xml:space="preserve">cero, cero, seiscientos mil quinientos dieciocho, el 15 quince de agosto de 2018 dos mil dieciocho la </w:t>
      </w:r>
      <w:r w:rsidRPr="00E020E8">
        <w:rPr>
          <w:rFonts w:cs="Arial"/>
          <w:b/>
          <w:color w:val="2E74B5" w:themeColor="accent1" w:themeShade="BF"/>
          <w:sz w:val="24"/>
          <w:szCs w:val="24"/>
        </w:rPr>
        <w:t>Oficialía Mayor</w:t>
      </w:r>
      <w:r w:rsidRPr="00E020E8">
        <w:rPr>
          <w:rFonts w:cs="Arial"/>
          <w:color w:val="2E74B5" w:themeColor="accent1" w:themeShade="BF"/>
          <w:sz w:val="24"/>
          <w:szCs w:val="24"/>
        </w:rPr>
        <w:t xml:space="preserve"> recibió una solicitud de acceso a la información pública en donde se le pidió la información siguiente</w:t>
      </w:r>
      <w:r w:rsidRPr="00E020E8">
        <w:rPr>
          <w:rStyle w:val="Refdenotaalpie"/>
          <w:rFonts w:cs="Arial"/>
          <w:color w:val="2E74B5" w:themeColor="accent1" w:themeShade="BF"/>
          <w:sz w:val="24"/>
          <w:szCs w:val="24"/>
        </w:rPr>
        <w:footnoteReference w:id="1"/>
      </w:r>
      <w:r w:rsidRPr="00E020E8">
        <w:rPr>
          <w:rFonts w:cs="Arial"/>
          <w:color w:val="2E74B5" w:themeColor="accent1" w:themeShade="BF"/>
          <w:sz w:val="24"/>
          <w:szCs w:val="24"/>
        </w:rPr>
        <w:t>:</w:t>
      </w:r>
    </w:p>
    <w:p w:rsidR="006E30D6" w:rsidRPr="00E020E8" w:rsidRDefault="006E30D6" w:rsidP="00E020E8">
      <w:pPr>
        <w:pStyle w:val="corte4fondo"/>
        <w:spacing w:line="276" w:lineRule="auto"/>
        <w:rPr>
          <w:rFonts w:cs="Arial"/>
          <w:color w:val="2E74B5" w:themeColor="accent1" w:themeShade="BF"/>
          <w:sz w:val="24"/>
          <w:szCs w:val="24"/>
        </w:rPr>
      </w:pPr>
    </w:p>
    <w:p w:rsidR="004A4991" w:rsidRPr="00E020E8" w:rsidRDefault="00E52F7E" w:rsidP="00E020E8">
      <w:pPr>
        <w:spacing w:after="0"/>
        <w:jc w:val="both"/>
        <w:rPr>
          <w:rFonts w:ascii="Arial" w:hAnsi="Arial" w:cs="Arial"/>
          <w:color w:val="2E74B5" w:themeColor="accent1" w:themeShade="BF"/>
          <w:sz w:val="20"/>
          <w:szCs w:val="20"/>
        </w:rPr>
      </w:pPr>
      <w:r w:rsidRPr="00E020E8">
        <w:rPr>
          <w:rFonts w:ascii="Arial" w:hAnsi="Arial" w:cs="Arial"/>
          <w:noProof/>
          <w:color w:val="2E74B5" w:themeColor="accent1" w:themeShade="BF"/>
          <w:sz w:val="20"/>
          <w:szCs w:val="20"/>
          <w:lang w:eastAsia="es-MX"/>
        </w:rPr>
        <w:drawing>
          <wp:inline distT="0" distB="0" distL="0" distR="0">
            <wp:extent cx="5595620" cy="1788160"/>
            <wp:effectExtent l="0" t="0" r="5080" b="254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95620" cy="1788160"/>
                    </a:xfrm>
                    <a:prstGeom prst="rect">
                      <a:avLst/>
                    </a:prstGeom>
                    <a:noFill/>
                    <a:ln>
                      <a:noFill/>
                    </a:ln>
                  </pic:spPr>
                </pic:pic>
              </a:graphicData>
            </a:graphic>
          </wp:inline>
        </w:drawing>
      </w:r>
    </w:p>
    <w:p w:rsidR="00E52F7E" w:rsidRPr="00E020E8" w:rsidRDefault="00E52F7E" w:rsidP="00E020E8">
      <w:pPr>
        <w:spacing w:after="0"/>
        <w:ind w:firstLine="709"/>
        <w:jc w:val="both"/>
        <w:rPr>
          <w:rFonts w:ascii="Arial" w:hAnsi="Arial" w:cs="Arial"/>
          <w:i/>
          <w:color w:val="2E74B5" w:themeColor="accent1" w:themeShade="BF"/>
          <w:sz w:val="20"/>
          <w:szCs w:val="20"/>
        </w:rPr>
      </w:pPr>
    </w:p>
    <w:p w:rsidR="00E52F7E" w:rsidRPr="00E020E8" w:rsidRDefault="004A4991" w:rsidP="00E020E8">
      <w:pPr>
        <w:spacing w:after="0"/>
        <w:ind w:firstLine="709"/>
        <w:jc w:val="both"/>
        <w:rPr>
          <w:rFonts w:ascii="Arial" w:hAnsi="Arial" w:cs="Arial"/>
          <w:i/>
          <w:color w:val="2E74B5" w:themeColor="accent1" w:themeShade="BF"/>
          <w:sz w:val="20"/>
          <w:szCs w:val="20"/>
        </w:rPr>
      </w:pPr>
      <w:r w:rsidRPr="00E020E8">
        <w:rPr>
          <w:rFonts w:ascii="Arial" w:hAnsi="Arial" w:cs="Arial"/>
          <w:i/>
          <w:color w:val="2E74B5" w:themeColor="accent1" w:themeShade="BF"/>
          <w:sz w:val="20"/>
          <w:szCs w:val="20"/>
        </w:rPr>
        <w:lastRenderedPageBreak/>
        <w:t>“…</w:t>
      </w:r>
      <w:r w:rsidR="00E52F7E" w:rsidRPr="00E020E8">
        <w:rPr>
          <w:rFonts w:ascii="Arial" w:hAnsi="Arial" w:cs="Arial"/>
          <w:i/>
          <w:color w:val="2E74B5" w:themeColor="accent1" w:themeShade="BF"/>
          <w:sz w:val="20"/>
          <w:szCs w:val="20"/>
        </w:rPr>
        <w:t>Fundamentado en el 6° Constitucional, 4 de la Ley de Transparencia de Acceso a la Información Pública del Estado de San Luis Potosí, con la finalidad de conocer la aplicación de los recursos públicos que faculta a las instituciones del gobierno del estado, del que todos los ciudadanos tenemos derecho a conocer, investigar, solicitar y recibir información, es así que solicito se me informe lo siguiente:</w:t>
      </w:r>
    </w:p>
    <w:p w:rsidR="00E52F7E" w:rsidRPr="00E020E8" w:rsidRDefault="00E52F7E" w:rsidP="00E020E8">
      <w:pPr>
        <w:spacing w:after="0"/>
        <w:ind w:firstLine="709"/>
        <w:jc w:val="both"/>
        <w:rPr>
          <w:rFonts w:ascii="Arial" w:hAnsi="Arial" w:cs="Arial"/>
          <w:i/>
          <w:color w:val="2E74B5" w:themeColor="accent1" w:themeShade="BF"/>
          <w:sz w:val="20"/>
          <w:szCs w:val="20"/>
        </w:rPr>
      </w:pPr>
    </w:p>
    <w:p w:rsidR="00E52F7E" w:rsidRPr="00E020E8" w:rsidRDefault="00E52F7E" w:rsidP="00E020E8">
      <w:pPr>
        <w:spacing w:after="0"/>
        <w:ind w:firstLine="709"/>
        <w:jc w:val="both"/>
        <w:rPr>
          <w:rFonts w:ascii="Arial" w:hAnsi="Arial" w:cs="Arial"/>
          <w:i/>
          <w:color w:val="2E74B5" w:themeColor="accent1" w:themeShade="BF"/>
          <w:sz w:val="20"/>
          <w:szCs w:val="20"/>
        </w:rPr>
      </w:pPr>
      <w:r w:rsidRPr="00E020E8">
        <w:rPr>
          <w:rFonts w:ascii="Arial" w:hAnsi="Arial" w:cs="Arial"/>
          <w:i/>
          <w:color w:val="2E74B5" w:themeColor="accent1" w:themeShade="BF"/>
          <w:sz w:val="20"/>
          <w:szCs w:val="20"/>
        </w:rPr>
        <w:t>1.- El servicio médico que ofrece gobierno del estado a sus trabajadores es único y exclusivo para los trabajadores en función?</w:t>
      </w:r>
    </w:p>
    <w:p w:rsidR="00E52F7E" w:rsidRPr="00E020E8" w:rsidRDefault="00E52F7E" w:rsidP="00E020E8">
      <w:pPr>
        <w:spacing w:after="0"/>
        <w:ind w:firstLine="709"/>
        <w:jc w:val="both"/>
        <w:rPr>
          <w:rFonts w:ascii="Arial" w:hAnsi="Arial" w:cs="Arial"/>
          <w:i/>
          <w:color w:val="2E74B5" w:themeColor="accent1" w:themeShade="BF"/>
          <w:sz w:val="20"/>
          <w:szCs w:val="20"/>
        </w:rPr>
      </w:pPr>
    </w:p>
    <w:p w:rsidR="00E52F7E" w:rsidRPr="00E020E8" w:rsidRDefault="00E52F7E" w:rsidP="00E020E8">
      <w:pPr>
        <w:spacing w:after="0"/>
        <w:ind w:firstLine="709"/>
        <w:jc w:val="both"/>
        <w:rPr>
          <w:rFonts w:ascii="Arial" w:hAnsi="Arial" w:cs="Arial"/>
          <w:i/>
          <w:color w:val="2E74B5" w:themeColor="accent1" w:themeShade="BF"/>
          <w:sz w:val="20"/>
          <w:szCs w:val="20"/>
        </w:rPr>
      </w:pPr>
      <w:r w:rsidRPr="00E020E8">
        <w:rPr>
          <w:rFonts w:ascii="Arial" w:hAnsi="Arial" w:cs="Arial"/>
          <w:i/>
          <w:color w:val="2E74B5" w:themeColor="accent1" w:themeShade="BF"/>
          <w:sz w:val="20"/>
          <w:szCs w:val="20"/>
        </w:rPr>
        <w:t xml:space="preserve">2.- El derecho de afiliación al servicio </w:t>
      </w:r>
      <w:proofErr w:type="spellStart"/>
      <w:r w:rsidRPr="00E020E8">
        <w:rPr>
          <w:rFonts w:ascii="Arial" w:hAnsi="Arial" w:cs="Arial"/>
          <w:i/>
          <w:color w:val="2E74B5" w:themeColor="accent1" w:themeShade="BF"/>
          <w:sz w:val="20"/>
          <w:szCs w:val="20"/>
        </w:rPr>
        <w:t>medico</w:t>
      </w:r>
      <w:proofErr w:type="spellEnd"/>
      <w:r w:rsidRPr="00E020E8">
        <w:rPr>
          <w:rFonts w:ascii="Arial" w:hAnsi="Arial" w:cs="Arial"/>
          <w:i/>
          <w:color w:val="2E74B5" w:themeColor="accent1" w:themeShade="BF"/>
          <w:sz w:val="20"/>
          <w:szCs w:val="20"/>
        </w:rPr>
        <w:t xml:space="preserve"> es extensivo a esposa e hijos solamente?</w:t>
      </w:r>
    </w:p>
    <w:p w:rsidR="00E52F7E" w:rsidRPr="00E020E8" w:rsidRDefault="00E52F7E" w:rsidP="00E020E8">
      <w:pPr>
        <w:spacing w:after="0"/>
        <w:ind w:firstLine="709"/>
        <w:jc w:val="both"/>
        <w:rPr>
          <w:rFonts w:ascii="Arial" w:hAnsi="Arial" w:cs="Arial"/>
          <w:i/>
          <w:color w:val="2E74B5" w:themeColor="accent1" w:themeShade="BF"/>
          <w:sz w:val="20"/>
          <w:szCs w:val="20"/>
        </w:rPr>
      </w:pPr>
    </w:p>
    <w:p w:rsidR="00E52F7E" w:rsidRPr="00E020E8" w:rsidRDefault="00E52F7E" w:rsidP="00E020E8">
      <w:pPr>
        <w:spacing w:after="0"/>
        <w:ind w:firstLine="709"/>
        <w:jc w:val="both"/>
        <w:rPr>
          <w:rFonts w:ascii="Arial" w:hAnsi="Arial" w:cs="Arial"/>
          <w:i/>
          <w:color w:val="2E74B5" w:themeColor="accent1" w:themeShade="BF"/>
          <w:sz w:val="20"/>
          <w:szCs w:val="20"/>
        </w:rPr>
      </w:pPr>
      <w:r w:rsidRPr="00E020E8">
        <w:rPr>
          <w:rFonts w:ascii="Arial" w:hAnsi="Arial" w:cs="Arial"/>
          <w:i/>
          <w:color w:val="2E74B5" w:themeColor="accent1" w:themeShade="BF"/>
          <w:sz w:val="20"/>
          <w:szCs w:val="20"/>
        </w:rPr>
        <w:t xml:space="preserve">3.- En qué casos un trabajador puede afiliar al servicio médico al que tiene derecho a sus padres, o algún </w:t>
      </w:r>
      <w:proofErr w:type="gramStart"/>
      <w:r w:rsidRPr="00E020E8">
        <w:rPr>
          <w:rFonts w:ascii="Arial" w:hAnsi="Arial" w:cs="Arial"/>
          <w:i/>
          <w:color w:val="2E74B5" w:themeColor="accent1" w:themeShade="BF"/>
          <w:sz w:val="20"/>
          <w:szCs w:val="20"/>
        </w:rPr>
        <w:t>familiar</w:t>
      </w:r>
      <w:proofErr w:type="gramEnd"/>
      <w:r w:rsidRPr="00E020E8">
        <w:rPr>
          <w:rFonts w:ascii="Arial" w:hAnsi="Arial" w:cs="Arial"/>
          <w:i/>
          <w:color w:val="2E74B5" w:themeColor="accent1" w:themeShade="BF"/>
          <w:sz w:val="20"/>
          <w:szCs w:val="20"/>
        </w:rPr>
        <w:t xml:space="preserve"> es decir: a su madre y padre o hermanos?</w:t>
      </w:r>
    </w:p>
    <w:p w:rsidR="00E52F7E" w:rsidRPr="00E020E8" w:rsidRDefault="00E52F7E" w:rsidP="00E020E8">
      <w:pPr>
        <w:spacing w:after="0"/>
        <w:ind w:firstLine="709"/>
        <w:jc w:val="both"/>
        <w:rPr>
          <w:rFonts w:ascii="Arial" w:hAnsi="Arial" w:cs="Arial"/>
          <w:i/>
          <w:color w:val="2E74B5" w:themeColor="accent1" w:themeShade="BF"/>
          <w:sz w:val="20"/>
          <w:szCs w:val="20"/>
        </w:rPr>
      </w:pPr>
    </w:p>
    <w:p w:rsidR="00E52F7E" w:rsidRPr="00E020E8" w:rsidRDefault="00E52F7E" w:rsidP="00E020E8">
      <w:pPr>
        <w:spacing w:after="0"/>
        <w:ind w:firstLine="709"/>
        <w:jc w:val="both"/>
        <w:rPr>
          <w:rFonts w:ascii="Arial" w:hAnsi="Arial" w:cs="Arial"/>
          <w:i/>
          <w:color w:val="2E74B5" w:themeColor="accent1" w:themeShade="BF"/>
          <w:sz w:val="20"/>
          <w:szCs w:val="20"/>
        </w:rPr>
      </w:pPr>
      <w:r w:rsidRPr="00E020E8">
        <w:rPr>
          <w:rFonts w:ascii="Arial" w:hAnsi="Arial" w:cs="Arial"/>
          <w:i/>
          <w:color w:val="2E74B5" w:themeColor="accent1" w:themeShade="BF"/>
          <w:sz w:val="20"/>
          <w:szCs w:val="20"/>
        </w:rPr>
        <w:t xml:space="preserve">4.- En caso de que no proceda la afiliación de madre o padre, e inclusive de hermanos, demostrar con la plantilla vigente que no se encuentran afiliados al servicio </w:t>
      </w:r>
      <w:proofErr w:type="spellStart"/>
      <w:r w:rsidRPr="00E020E8">
        <w:rPr>
          <w:rFonts w:ascii="Arial" w:hAnsi="Arial" w:cs="Arial"/>
          <w:i/>
          <w:color w:val="2E74B5" w:themeColor="accent1" w:themeShade="BF"/>
          <w:sz w:val="20"/>
          <w:szCs w:val="20"/>
        </w:rPr>
        <w:t>medico</w:t>
      </w:r>
      <w:proofErr w:type="spellEnd"/>
      <w:r w:rsidRPr="00E020E8">
        <w:rPr>
          <w:rFonts w:ascii="Arial" w:hAnsi="Arial" w:cs="Arial"/>
          <w:i/>
          <w:color w:val="2E74B5" w:themeColor="accent1" w:themeShade="BF"/>
          <w:sz w:val="20"/>
          <w:szCs w:val="20"/>
        </w:rPr>
        <w:t xml:space="preserve"> personas que no tienen derecho a este (o que no existan aviadores dentro del mismo y que no le cueste mantener personas ajenas al servicio) la plantilla deberá ser como sigue:</w:t>
      </w:r>
    </w:p>
    <w:p w:rsidR="00E52F7E" w:rsidRPr="00E020E8" w:rsidRDefault="00E52F7E" w:rsidP="00E020E8">
      <w:pPr>
        <w:spacing w:after="0"/>
        <w:ind w:firstLine="709"/>
        <w:jc w:val="both"/>
        <w:rPr>
          <w:rFonts w:ascii="Arial" w:hAnsi="Arial" w:cs="Arial"/>
          <w:i/>
          <w:color w:val="2E74B5" w:themeColor="accent1" w:themeShade="BF"/>
          <w:sz w:val="20"/>
          <w:szCs w:val="20"/>
        </w:rPr>
      </w:pPr>
    </w:p>
    <w:p w:rsidR="00E52F7E" w:rsidRPr="00E020E8" w:rsidRDefault="00E52F7E" w:rsidP="00E020E8">
      <w:pPr>
        <w:spacing w:after="0"/>
        <w:ind w:firstLine="709"/>
        <w:jc w:val="both"/>
        <w:rPr>
          <w:rFonts w:ascii="Arial" w:hAnsi="Arial" w:cs="Arial"/>
          <w:i/>
          <w:color w:val="2E74B5" w:themeColor="accent1" w:themeShade="BF"/>
          <w:sz w:val="20"/>
          <w:szCs w:val="20"/>
        </w:rPr>
      </w:pPr>
      <w:r w:rsidRPr="00E020E8">
        <w:rPr>
          <w:rFonts w:ascii="Arial" w:hAnsi="Arial" w:cs="Arial"/>
          <w:i/>
          <w:color w:val="2E74B5" w:themeColor="accent1" w:themeShade="BF"/>
          <w:sz w:val="20"/>
          <w:szCs w:val="20"/>
        </w:rPr>
        <w:t>- Nombre del Trabajador</w:t>
      </w:r>
    </w:p>
    <w:p w:rsidR="00E52F7E" w:rsidRPr="00E020E8" w:rsidRDefault="00E52F7E" w:rsidP="00E020E8">
      <w:pPr>
        <w:spacing w:after="0"/>
        <w:ind w:firstLine="709"/>
        <w:jc w:val="both"/>
        <w:rPr>
          <w:rFonts w:ascii="Arial" w:hAnsi="Arial" w:cs="Arial"/>
          <w:i/>
          <w:color w:val="2E74B5" w:themeColor="accent1" w:themeShade="BF"/>
          <w:sz w:val="20"/>
          <w:szCs w:val="20"/>
        </w:rPr>
      </w:pPr>
      <w:r w:rsidRPr="00E020E8">
        <w:rPr>
          <w:rFonts w:ascii="Arial" w:hAnsi="Arial" w:cs="Arial"/>
          <w:i/>
          <w:color w:val="2E74B5" w:themeColor="accent1" w:themeShade="BF"/>
          <w:sz w:val="20"/>
          <w:szCs w:val="20"/>
        </w:rPr>
        <w:t>- Beneficiarios:</w:t>
      </w:r>
    </w:p>
    <w:p w:rsidR="00E52F7E" w:rsidRPr="00E020E8" w:rsidRDefault="00E52F7E" w:rsidP="00E020E8">
      <w:pPr>
        <w:spacing w:after="0"/>
        <w:ind w:firstLine="709"/>
        <w:jc w:val="both"/>
        <w:rPr>
          <w:rFonts w:ascii="Arial" w:hAnsi="Arial" w:cs="Arial"/>
          <w:i/>
          <w:color w:val="2E74B5" w:themeColor="accent1" w:themeShade="BF"/>
          <w:sz w:val="20"/>
          <w:szCs w:val="20"/>
        </w:rPr>
      </w:pPr>
      <w:r w:rsidRPr="00E020E8">
        <w:rPr>
          <w:rFonts w:ascii="Arial" w:hAnsi="Arial" w:cs="Arial"/>
          <w:i/>
          <w:color w:val="2E74B5" w:themeColor="accent1" w:themeShade="BF"/>
          <w:sz w:val="20"/>
          <w:szCs w:val="20"/>
        </w:rPr>
        <w:tab/>
        <w:t>Hijo</w:t>
      </w:r>
    </w:p>
    <w:p w:rsidR="00E52F7E" w:rsidRPr="00E020E8" w:rsidRDefault="00E52F7E" w:rsidP="00E020E8">
      <w:pPr>
        <w:spacing w:after="0"/>
        <w:ind w:firstLine="709"/>
        <w:jc w:val="both"/>
        <w:rPr>
          <w:rFonts w:ascii="Arial" w:hAnsi="Arial" w:cs="Arial"/>
          <w:i/>
          <w:color w:val="2E74B5" w:themeColor="accent1" w:themeShade="BF"/>
          <w:sz w:val="20"/>
          <w:szCs w:val="20"/>
        </w:rPr>
      </w:pPr>
      <w:r w:rsidRPr="00E020E8">
        <w:rPr>
          <w:rFonts w:ascii="Arial" w:hAnsi="Arial" w:cs="Arial"/>
          <w:i/>
          <w:color w:val="2E74B5" w:themeColor="accent1" w:themeShade="BF"/>
          <w:sz w:val="20"/>
          <w:szCs w:val="20"/>
        </w:rPr>
        <w:tab/>
        <w:t>Esposa</w:t>
      </w:r>
    </w:p>
    <w:p w:rsidR="00E52F7E" w:rsidRPr="00E020E8" w:rsidRDefault="00E52F7E" w:rsidP="00E020E8">
      <w:pPr>
        <w:spacing w:after="0"/>
        <w:ind w:firstLine="709"/>
        <w:jc w:val="both"/>
        <w:rPr>
          <w:rFonts w:ascii="Arial" w:hAnsi="Arial" w:cs="Arial"/>
          <w:i/>
          <w:color w:val="2E74B5" w:themeColor="accent1" w:themeShade="BF"/>
          <w:sz w:val="20"/>
          <w:szCs w:val="20"/>
        </w:rPr>
      </w:pPr>
      <w:r w:rsidRPr="00E020E8">
        <w:rPr>
          <w:rFonts w:ascii="Arial" w:hAnsi="Arial" w:cs="Arial"/>
          <w:i/>
          <w:color w:val="2E74B5" w:themeColor="accent1" w:themeShade="BF"/>
          <w:sz w:val="20"/>
          <w:szCs w:val="20"/>
        </w:rPr>
        <w:t>Y si aplica deberá detallar si está afiliado la o él:</w:t>
      </w:r>
    </w:p>
    <w:p w:rsidR="00E52F7E" w:rsidRPr="00E020E8" w:rsidRDefault="00E52F7E" w:rsidP="00E020E8">
      <w:pPr>
        <w:spacing w:after="0"/>
        <w:ind w:firstLine="709"/>
        <w:jc w:val="both"/>
        <w:rPr>
          <w:rFonts w:ascii="Arial" w:hAnsi="Arial" w:cs="Arial"/>
          <w:i/>
          <w:color w:val="2E74B5" w:themeColor="accent1" w:themeShade="BF"/>
          <w:sz w:val="20"/>
          <w:szCs w:val="20"/>
        </w:rPr>
      </w:pPr>
      <w:r w:rsidRPr="00E020E8">
        <w:rPr>
          <w:rFonts w:ascii="Arial" w:hAnsi="Arial" w:cs="Arial"/>
          <w:i/>
          <w:color w:val="2E74B5" w:themeColor="accent1" w:themeShade="BF"/>
          <w:sz w:val="20"/>
          <w:szCs w:val="20"/>
        </w:rPr>
        <w:tab/>
        <w:t>Madre</w:t>
      </w:r>
    </w:p>
    <w:p w:rsidR="00E52F7E" w:rsidRPr="00E020E8" w:rsidRDefault="00E52F7E" w:rsidP="00E020E8">
      <w:pPr>
        <w:spacing w:after="0"/>
        <w:ind w:firstLine="709"/>
        <w:jc w:val="both"/>
        <w:rPr>
          <w:rFonts w:ascii="Arial" w:hAnsi="Arial" w:cs="Arial"/>
          <w:i/>
          <w:color w:val="2E74B5" w:themeColor="accent1" w:themeShade="BF"/>
          <w:sz w:val="20"/>
          <w:szCs w:val="20"/>
        </w:rPr>
      </w:pPr>
      <w:r w:rsidRPr="00E020E8">
        <w:rPr>
          <w:rFonts w:ascii="Arial" w:hAnsi="Arial" w:cs="Arial"/>
          <w:i/>
          <w:color w:val="2E74B5" w:themeColor="accent1" w:themeShade="BF"/>
          <w:sz w:val="20"/>
          <w:szCs w:val="20"/>
        </w:rPr>
        <w:tab/>
        <w:t>Padre</w:t>
      </w:r>
    </w:p>
    <w:p w:rsidR="00E52F7E" w:rsidRPr="00E020E8" w:rsidRDefault="00E52F7E" w:rsidP="00E020E8">
      <w:pPr>
        <w:spacing w:after="0"/>
        <w:ind w:firstLine="709"/>
        <w:jc w:val="both"/>
        <w:rPr>
          <w:rFonts w:ascii="Arial" w:hAnsi="Arial" w:cs="Arial"/>
          <w:i/>
          <w:color w:val="2E74B5" w:themeColor="accent1" w:themeShade="BF"/>
          <w:sz w:val="20"/>
          <w:szCs w:val="20"/>
        </w:rPr>
      </w:pPr>
      <w:r w:rsidRPr="00E020E8">
        <w:rPr>
          <w:rFonts w:ascii="Arial" w:hAnsi="Arial" w:cs="Arial"/>
          <w:i/>
          <w:color w:val="2E74B5" w:themeColor="accent1" w:themeShade="BF"/>
          <w:sz w:val="20"/>
          <w:szCs w:val="20"/>
        </w:rPr>
        <w:tab/>
        <w:t>Hermano</w:t>
      </w:r>
    </w:p>
    <w:p w:rsidR="00E52F7E" w:rsidRPr="00E020E8" w:rsidRDefault="00E52F7E" w:rsidP="00E020E8">
      <w:pPr>
        <w:spacing w:after="0"/>
        <w:ind w:firstLine="709"/>
        <w:jc w:val="both"/>
        <w:rPr>
          <w:rFonts w:ascii="Arial" w:hAnsi="Arial" w:cs="Arial"/>
          <w:i/>
          <w:color w:val="2E74B5" w:themeColor="accent1" w:themeShade="BF"/>
          <w:sz w:val="20"/>
          <w:szCs w:val="20"/>
        </w:rPr>
      </w:pPr>
    </w:p>
    <w:p w:rsidR="00E52F7E" w:rsidRPr="00E020E8" w:rsidRDefault="00E52F7E" w:rsidP="00E020E8">
      <w:pPr>
        <w:spacing w:after="0"/>
        <w:ind w:firstLine="709"/>
        <w:jc w:val="both"/>
        <w:rPr>
          <w:rFonts w:ascii="Arial" w:hAnsi="Arial" w:cs="Arial"/>
          <w:i/>
          <w:color w:val="2E74B5" w:themeColor="accent1" w:themeShade="BF"/>
          <w:sz w:val="20"/>
          <w:szCs w:val="20"/>
        </w:rPr>
      </w:pPr>
      <w:r w:rsidRPr="00E020E8">
        <w:rPr>
          <w:rFonts w:ascii="Arial" w:hAnsi="Arial" w:cs="Arial"/>
          <w:i/>
          <w:color w:val="2E74B5" w:themeColor="accent1" w:themeShade="BF"/>
          <w:sz w:val="20"/>
          <w:szCs w:val="20"/>
        </w:rPr>
        <w:t>-Dependencia de Adscripción del trabajador</w:t>
      </w:r>
    </w:p>
    <w:p w:rsidR="00E52F7E" w:rsidRPr="00E020E8" w:rsidRDefault="00E52F7E" w:rsidP="00E020E8">
      <w:pPr>
        <w:spacing w:after="0"/>
        <w:ind w:firstLine="709"/>
        <w:jc w:val="both"/>
        <w:rPr>
          <w:rFonts w:ascii="Arial" w:hAnsi="Arial" w:cs="Arial"/>
          <w:i/>
          <w:color w:val="2E74B5" w:themeColor="accent1" w:themeShade="BF"/>
          <w:sz w:val="20"/>
          <w:szCs w:val="20"/>
        </w:rPr>
      </w:pPr>
      <w:r w:rsidRPr="00E020E8">
        <w:rPr>
          <w:rFonts w:ascii="Arial" w:hAnsi="Arial" w:cs="Arial"/>
          <w:i/>
          <w:color w:val="2E74B5" w:themeColor="accent1" w:themeShade="BF"/>
          <w:sz w:val="20"/>
          <w:szCs w:val="20"/>
        </w:rPr>
        <w:t xml:space="preserve">-Monto que cubre el servicio </w:t>
      </w:r>
      <w:proofErr w:type="spellStart"/>
      <w:r w:rsidRPr="00E020E8">
        <w:rPr>
          <w:rFonts w:ascii="Arial" w:hAnsi="Arial" w:cs="Arial"/>
          <w:i/>
          <w:color w:val="2E74B5" w:themeColor="accent1" w:themeShade="BF"/>
          <w:sz w:val="20"/>
          <w:szCs w:val="20"/>
        </w:rPr>
        <w:t>medico</w:t>
      </w:r>
      <w:proofErr w:type="spellEnd"/>
      <w:r w:rsidRPr="00E020E8">
        <w:rPr>
          <w:rFonts w:ascii="Arial" w:hAnsi="Arial" w:cs="Arial"/>
          <w:i/>
          <w:color w:val="2E74B5" w:themeColor="accent1" w:themeShade="BF"/>
          <w:sz w:val="20"/>
          <w:szCs w:val="20"/>
        </w:rPr>
        <w:t xml:space="preserve"> anual al trabajador</w:t>
      </w:r>
    </w:p>
    <w:p w:rsidR="00E52F7E" w:rsidRPr="00E020E8" w:rsidRDefault="00E52F7E" w:rsidP="00E020E8">
      <w:pPr>
        <w:spacing w:after="0"/>
        <w:ind w:firstLine="709"/>
        <w:jc w:val="both"/>
        <w:rPr>
          <w:rFonts w:ascii="Arial" w:hAnsi="Arial" w:cs="Arial"/>
          <w:i/>
          <w:color w:val="2E74B5" w:themeColor="accent1" w:themeShade="BF"/>
          <w:sz w:val="20"/>
          <w:szCs w:val="20"/>
        </w:rPr>
      </w:pPr>
    </w:p>
    <w:p w:rsidR="00E52F7E" w:rsidRPr="00E020E8" w:rsidRDefault="00E52F7E" w:rsidP="00E020E8">
      <w:pPr>
        <w:spacing w:after="0"/>
        <w:ind w:firstLine="709"/>
        <w:jc w:val="both"/>
        <w:rPr>
          <w:rFonts w:ascii="Arial" w:hAnsi="Arial" w:cs="Arial"/>
          <w:i/>
          <w:color w:val="2E74B5" w:themeColor="accent1" w:themeShade="BF"/>
          <w:sz w:val="20"/>
          <w:szCs w:val="20"/>
        </w:rPr>
      </w:pPr>
      <w:r w:rsidRPr="00E020E8">
        <w:rPr>
          <w:rFonts w:ascii="Arial" w:hAnsi="Arial" w:cs="Arial"/>
          <w:i/>
          <w:color w:val="2E74B5" w:themeColor="accent1" w:themeShade="BF"/>
          <w:sz w:val="20"/>
          <w:szCs w:val="20"/>
        </w:rPr>
        <w:t xml:space="preserve">5.- </w:t>
      </w:r>
      <w:proofErr w:type="gramStart"/>
      <w:r w:rsidRPr="00E020E8">
        <w:rPr>
          <w:rFonts w:ascii="Arial" w:hAnsi="Arial" w:cs="Arial"/>
          <w:i/>
          <w:color w:val="2E74B5" w:themeColor="accent1" w:themeShade="BF"/>
          <w:sz w:val="20"/>
          <w:szCs w:val="20"/>
        </w:rPr>
        <w:t>Monto anual que se pagó por el servicio médico que brinda gobierno del estado a sus trabajadores de los años 2016, 2017 y el estimado a pagar para el periodo 2018?</w:t>
      </w:r>
      <w:proofErr w:type="gramEnd"/>
    </w:p>
    <w:p w:rsidR="00E52F7E" w:rsidRPr="00E020E8" w:rsidRDefault="00E52F7E" w:rsidP="00E020E8">
      <w:pPr>
        <w:spacing w:after="0"/>
        <w:ind w:firstLine="709"/>
        <w:jc w:val="both"/>
        <w:rPr>
          <w:rFonts w:ascii="Arial" w:hAnsi="Arial" w:cs="Arial"/>
          <w:i/>
          <w:color w:val="2E74B5" w:themeColor="accent1" w:themeShade="BF"/>
          <w:sz w:val="20"/>
          <w:szCs w:val="20"/>
        </w:rPr>
      </w:pPr>
    </w:p>
    <w:p w:rsidR="004A4991" w:rsidRPr="00E020E8" w:rsidRDefault="00E52F7E" w:rsidP="00E020E8">
      <w:pPr>
        <w:spacing w:after="0"/>
        <w:ind w:firstLine="709"/>
        <w:jc w:val="both"/>
        <w:rPr>
          <w:rFonts w:ascii="Arial" w:hAnsi="Arial" w:cs="Arial"/>
          <w:i/>
          <w:color w:val="2E74B5" w:themeColor="accent1" w:themeShade="BF"/>
          <w:sz w:val="20"/>
          <w:szCs w:val="20"/>
        </w:rPr>
      </w:pPr>
      <w:r w:rsidRPr="00E020E8">
        <w:rPr>
          <w:rFonts w:ascii="Arial" w:hAnsi="Arial" w:cs="Arial"/>
          <w:i/>
          <w:color w:val="2E74B5" w:themeColor="accent1" w:themeShade="BF"/>
          <w:sz w:val="20"/>
          <w:szCs w:val="20"/>
        </w:rPr>
        <w:t xml:space="preserve">6.- Funcionario facultado para dar altas a los derechohabientes trabajadores, y en </w:t>
      </w:r>
      <w:proofErr w:type="gramStart"/>
      <w:r w:rsidRPr="00E020E8">
        <w:rPr>
          <w:rFonts w:ascii="Arial" w:hAnsi="Arial" w:cs="Arial"/>
          <w:i/>
          <w:color w:val="2E74B5" w:themeColor="accent1" w:themeShade="BF"/>
          <w:sz w:val="20"/>
          <w:szCs w:val="20"/>
        </w:rPr>
        <w:t>sus caso</w:t>
      </w:r>
      <w:proofErr w:type="gramEnd"/>
      <w:r w:rsidRPr="00E020E8">
        <w:rPr>
          <w:rFonts w:ascii="Arial" w:hAnsi="Arial" w:cs="Arial"/>
          <w:i/>
          <w:color w:val="2E74B5" w:themeColor="accent1" w:themeShade="BF"/>
          <w:sz w:val="20"/>
          <w:szCs w:val="20"/>
        </w:rPr>
        <w:t xml:space="preserve"> a personas con parentesco que no tienen el derecho al servicio </w:t>
      </w:r>
      <w:proofErr w:type="spellStart"/>
      <w:r w:rsidRPr="00E020E8">
        <w:rPr>
          <w:rFonts w:ascii="Arial" w:hAnsi="Arial" w:cs="Arial"/>
          <w:i/>
          <w:color w:val="2E74B5" w:themeColor="accent1" w:themeShade="BF"/>
          <w:sz w:val="20"/>
          <w:szCs w:val="20"/>
        </w:rPr>
        <w:t>medico</w:t>
      </w:r>
      <w:proofErr w:type="spellEnd"/>
      <w:r w:rsidRPr="00E020E8">
        <w:rPr>
          <w:rFonts w:ascii="Arial" w:hAnsi="Arial" w:cs="Arial"/>
          <w:i/>
          <w:color w:val="2E74B5" w:themeColor="accent1" w:themeShade="BF"/>
          <w:sz w:val="20"/>
          <w:szCs w:val="20"/>
        </w:rPr>
        <w:t>?</w:t>
      </w:r>
      <w:r w:rsidR="004A4991" w:rsidRPr="00E020E8">
        <w:rPr>
          <w:rFonts w:ascii="Arial" w:hAnsi="Arial" w:cs="Arial"/>
          <w:i/>
          <w:color w:val="2E74B5" w:themeColor="accent1" w:themeShade="BF"/>
          <w:sz w:val="20"/>
          <w:szCs w:val="20"/>
        </w:rPr>
        <w:t xml:space="preserve"> …”    </w:t>
      </w:r>
    </w:p>
    <w:p w:rsidR="004A4991" w:rsidRPr="00E020E8" w:rsidRDefault="004A4991" w:rsidP="00E020E8">
      <w:pPr>
        <w:spacing w:after="0"/>
        <w:ind w:firstLine="709"/>
        <w:jc w:val="both"/>
        <w:rPr>
          <w:rFonts w:ascii="Arial" w:hAnsi="Arial" w:cs="Arial"/>
          <w:b/>
          <w:color w:val="2E74B5" w:themeColor="accent1" w:themeShade="BF"/>
          <w:sz w:val="24"/>
          <w:szCs w:val="24"/>
        </w:rPr>
      </w:pPr>
    </w:p>
    <w:p w:rsidR="00E6656F" w:rsidRPr="00E020E8" w:rsidRDefault="004A4991" w:rsidP="00E020E8">
      <w:pPr>
        <w:pStyle w:val="corte4fondo"/>
        <w:spacing w:line="276" w:lineRule="auto"/>
        <w:rPr>
          <w:rFonts w:cs="Arial"/>
          <w:color w:val="2E74B5" w:themeColor="accent1" w:themeShade="BF"/>
          <w:sz w:val="24"/>
          <w:szCs w:val="24"/>
        </w:rPr>
      </w:pPr>
      <w:r w:rsidRPr="00E020E8">
        <w:rPr>
          <w:rFonts w:cs="Arial"/>
          <w:b/>
          <w:color w:val="2E74B5" w:themeColor="accent1" w:themeShade="BF"/>
          <w:sz w:val="24"/>
          <w:szCs w:val="24"/>
        </w:rPr>
        <w:t xml:space="preserve">SEGUNDO. </w:t>
      </w:r>
      <w:r w:rsidR="00E6656F" w:rsidRPr="00E020E8">
        <w:rPr>
          <w:rFonts w:cs="Arial"/>
          <w:b/>
          <w:color w:val="2E74B5" w:themeColor="accent1" w:themeShade="BF"/>
          <w:sz w:val="24"/>
          <w:szCs w:val="24"/>
        </w:rPr>
        <w:t xml:space="preserve">Ampliación del plazo para dar respuesta a Respuesta a la solicitud de acceso a la información pública. </w:t>
      </w:r>
      <w:r w:rsidR="00E6656F" w:rsidRPr="00E020E8">
        <w:rPr>
          <w:rFonts w:cs="Arial"/>
          <w:color w:val="2E74B5" w:themeColor="accent1" w:themeShade="BF"/>
          <w:sz w:val="24"/>
          <w:szCs w:val="24"/>
        </w:rPr>
        <w:t>El 28 veintiocho de agosto de 2018 dos mil dieciocho el sujeto obligado utilizó la ampliación del plazo para dar respuesta a la solicitud de acceso a la información pública y notificó al solicitante mediante el mismo sistema electrónico como se observa a continuación</w:t>
      </w:r>
      <w:r w:rsidR="00E6656F" w:rsidRPr="00E020E8">
        <w:rPr>
          <w:rStyle w:val="Refdenotaalpie"/>
          <w:rFonts w:cs="Arial"/>
          <w:color w:val="2E74B5" w:themeColor="accent1" w:themeShade="BF"/>
          <w:sz w:val="24"/>
          <w:szCs w:val="24"/>
        </w:rPr>
        <w:footnoteReference w:id="2"/>
      </w:r>
      <w:r w:rsidR="00E6656F" w:rsidRPr="00E020E8">
        <w:rPr>
          <w:rFonts w:cs="Arial"/>
          <w:color w:val="2E74B5" w:themeColor="accent1" w:themeShade="BF"/>
          <w:sz w:val="24"/>
          <w:szCs w:val="24"/>
        </w:rPr>
        <w:t>:</w:t>
      </w:r>
    </w:p>
    <w:p w:rsidR="00E6656F" w:rsidRPr="00E020E8" w:rsidRDefault="0006295A" w:rsidP="00E020E8">
      <w:pPr>
        <w:spacing w:after="0"/>
        <w:jc w:val="both"/>
        <w:rPr>
          <w:rFonts w:ascii="Arial" w:eastAsia="Times New Roman" w:hAnsi="Arial" w:cs="Arial"/>
          <w:b/>
          <w:color w:val="2E74B5" w:themeColor="accent1" w:themeShade="BF"/>
          <w:sz w:val="24"/>
          <w:szCs w:val="24"/>
          <w:lang w:eastAsia="es-MX"/>
        </w:rPr>
      </w:pPr>
      <w:r w:rsidRPr="00E020E8">
        <w:rPr>
          <w:rFonts w:ascii="Arial" w:eastAsia="Times New Roman" w:hAnsi="Arial" w:cs="Arial"/>
          <w:b/>
          <w:noProof/>
          <w:color w:val="2E74B5" w:themeColor="accent1" w:themeShade="BF"/>
          <w:sz w:val="24"/>
          <w:szCs w:val="24"/>
          <w:lang w:eastAsia="es-MX"/>
        </w:rPr>
        <w:drawing>
          <wp:inline distT="0" distB="0" distL="0" distR="0">
            <wp:extent cx="5606925" cy="173370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60851" cy="1750376"/>
                    </a:xfrm>
                    <a:prstGeom prst="rect">
                      <a:avLst/>
                    </a:prstGeom>
                    <a:noFill/>
                    <a:ln>
                      <a:noFill/>
                    </a:ln>
                  </pic:spPr>
                </pic:pic>
              </a:graphicData>
            </a:graphic>
          </wp:inline>
        </w:drawing>
      </w:r>
    </w:p>
    <w:p w:rsidR="004A4991" w:rsidRPr="00E020E8" w:rsidRDefault="00E6656F" w:rsidP="00E020E8">
      <w:pPr>
        <w:spacing w:after="0"/>
        <w:ind w:firstLine="709"/>
        <w:jc w:val="both"/>
        <w:rPr>
          <w:rFonts w:ascii="Arial" w:eastAsia="Times New Roman" w:hAnsi="Arial" w:cs="Arial"/>
          <w:color w:val="2E74B5" w:themeColor="accent1" w:themeShade="BF"/>
          <w:sz w:val="24"/>
          <w:szCs w:val="24"/>
          <w:lang w:eastAsia="es-MX"/>
        </w:rPr>
      </w:pPr>
      <w:r w:rsidRPr="00E020E8">
        <w:rPr>
          <w:rFonts w:ascii="Arial" w:hAnsi="Arial" w:cs="Arial"/>
          <w:b/>
          <w:color w:val="2E74B5" w:themeColor="accent1" w:themeShade="BF"/>
          <w:sz w:val="24"/>
          <w:szCs w:val="24"/>
        </w:rPr>
        <w:lastRenderedPageBreak/>
        <w:t>TERCERO.</w:t>
      </w:r>
      <w:r w:rsidRPr="00E020E8">
        <w:rPr>
          <w:rFonts w:ascii="Arial" w:eastAsia="Times New Roman" w:hAnsi="Arial" w:cs="Arial"/>
          <w:b/>
          <w:color w:val="2E74B5" w:themeColor="accent1" w:themeShade="BF"/>
          <w:sz w:val="24"/>
          <w:szCs w:val="24"/>
          <w:lang w:eastAsia="es-MX"/>
        </w:rPr>
        <w:t xml:space="preserve"> </w:t>
      </w:r>
      <w:r w:rsidR="004A4991" w:rsidRPr="00E020E8">
        <w:rPr>
          <w:rFonts w:ascii="Arial" w:eastAsia="Times New Roman" w:hAnsi="Arial" w:cs="Arial"/>
          <w:b/>
          <w:color w:val="2E74B5" w:themeColor="accent1" w:themeShade="BF"/>
          <w:sz w:val="24"/>
          <w:szCs w:val="24"/>
          <w:lang w:eastAsia="es-MX"/>
        </w:rPr>
        <w:t xml:space="preserve">Respuesta a la solicitud de acceso a la información pública. </w:t>
      </w:r>
      <w:r w:rsidR="004A4991" w:rsidRPr="00E020E8">
        <w:rPr>
          <w:rFonts w:ascii="Arial" w:eastAsia="Times New Roman" w:hAnsi="Arial" w:cs="Arial"/>
          <w:color w:val="2E74B5" w:themeColor="accent1" w:themeShade="BF"/>
          <w:sz w:val="24"/>
          <w:szCs w:val="24"/>
          <w:lang w:eastAsia="es-MX"/>
        </w:rPr>
        <w:t>El 12 doce de septiembre de 2018 dos mil dieciocho el sujeto obligado</w:t>
      </w:r>
      <w:r w:rsidR="004A4991" w:rsidRPr="00E020E8">
        <w:rPr>
          <w:rFonts w:ascii="Arial" w:eastAsia="Times New Roman" w:hAnsi="Arial" w:cs="Arial"/>
          <w:b/>
          <w:color w:val="2E74B5" w:themeColor="accent1" w:themeShade="BF"/>
          <w:sz w:val="24"/>
          <w:szCs w:val="24"/>
          <w:lang w:eastAsia="es-MX"/>
        </w:rPr>
        <w:t xml:space="preserve"> </w:t>
      </w:r>
      <w:r w:rsidR="004A4991" w:rsidRPr="00E020E8">
        <w:rPr>
          <w:rFonts w:ascii="Arial" w:eastAsia="Times New Roman" w:hAnsi="Arial" w:cs="Arial"/>
          <w:color w:val="2E74B5" w:themeColor="accent1" w:themeShade="BF"/>
          <w:sz w:val="24"/>
          <w:szCs w:val="24"/>
          <w:lang w:eastAsia="es-MX"/>
        </w:rPr>
        <w:t>notificó al solicitante, por el mismo medio electrónico, la respuesta a la solicitud de acceso a la información pública, misma que es como sigue</w:t>
      </w:r>
      <w:r w:rsidR="004A4991" w:rsidRPr="00E020E8">
        <w:rPr>
          <w:rFonts w:ascii="Arial" w:eastAsia="Times New Roman" w:hAnsi="Arial" w:cs="Arial"/>
          <w:color w:val="2E74B5" w:themeColor="accent1" w:themeShade="BF"/>
          <w:sz w:val="24"/>
          <w:szCs w:val="24"/>
          <w:vertAlign w:val="superscript"/>
          <w:lang w:eastAsia="es-MX"/>
        </w:rPr>
        <w:footnoteReference w:id="3"/>
      </w:r>
      <w:r w:rsidR="004A4991" w:rsidRPr="00E020E8">
        <w:rPr>
          <w:rFonts w:ascii="Arial" w:eastAsia="Times New Roman" w:hAnsi="Arial" w:cs="Arial"/>
          <w:color w:val="2E74B5" w:themeColor="accent1" w:themeShade="BF"/>
          <w:sz w:val="24"/>
          <w:szCs w:val="24"/>
          <w:lang w:eastAsia="es-MX"/>
        </w:rPr>
        <w:t>:</w:t>
      </w:r>
    </w:p>
    <w:p w:rsidR="00E52F7E" w:rsidRPr="00E020E8" w:rsidRDefault="00E52F7E" w:rsidP="00E020E8">
      <w:pPr>
        <w:pStyle w:val="corte4fondo"/>
        <w:spacing w:line="276" w:lineRule="auto"/>
        <w:ind w:firstLine="0"/>
        <w:rPr>
          <w:rFonts w:cs="Arial"/>
          <w:color w:val="2E74B5" w:themeColor="accent1" w:themeShade="BF"/>
          <w:sz w:val="24"/>
          <w:szCs w:val="24"/>
        </w:rPr>
      </w:pPr>
    </w:p>
    <w:p w:rsidR="004A4991" w:rsidRPr="00E020E8" w:rsidRDefault="00E52F7E" w:rsidP="00E020E8">
      <w:pPr>
        <w:pStyle w:val="corte4fondo"/>
        <w:spacing w:line="276" w:lineRule="auto"/>
        <w:ind w:firstLine="0"/>
        <w:rPr>
          <w:rFonts w:cs="Arial"/>
          <w:b/>
          <w:color w:val="2E74B5" w:themeColor="accent1" w:themeShade="BF"/>
          <w:sz w:val="24"/>
          <w:szCs w:val="24"/>
        </w:rPr>
      </w:pPr>
      <w:r w:rsidRPr="00E020E8">
        <w:rPr>
          <w:rFonts w:cs="Arial"/>
          <w:b/>
          <w:noProof/>
          <w:color w:val="2E74B5" w:themeColor="accent1" w:themeShade="BF"/>
          <w:sz w:val="24"/>
          <w:szCs w:val="24"/>
        </w:rPr>
        <w:drawing>
          <wp:inline distT="0" distB="0" distL="0" distR="0">
            <wp:extent cx="5602605" cy="1617345"/>
            <wp:effectExtent l="0" t="0" r="0" b="190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02605" cy="1617345"/>
                    </a:xfrm>
                    <a:prstGeom prst="rect">
                      <a:avLst/>
                    </a:prstGeom>
                    <a:noFill/>
                    <a:ln>
                      <a:noFill/>
                    </a:ln>
                  </pic:spPr>
                </pic:pic>
              </a:graphicData>
            </a:graphic>
          </wp:inline>
        </w:drawing>
      </w:r>
    </w:p>
    <w:p w:rsidR="009A21BA" w:rsidRPr="00E020E8" w:rsidRDefault="009A21BA" w:rsidP="00E020E8">
      <w:pPr>
        <w:spacing w:after="0"/>
        <w:ind w:firstLine="708"/>
        <w:jc w:val="both"/>
        <w:rPr>
          <w:rFonts w:ascii="Arial" w:hAnsi="Arial" w:cs="Arial"/>
          <w:b/>
          <w:color w:val="2E74B5" w:themeColor="accent1" w:themeShade="BF"/>
          <w:sz w:val="24"/>
          <w:szCs w:val="24"/>
        </w:rPr>
      </w:pPr>
    </w:p>
    <w:p w:rsidR="0028181B" w:rsidRPr="00E020E8" w:rsidRDefault="0028181B" w:rsidP="00E020E8">
      <w:pPr>
        <w:spacing w:after="0"/>
        <w:ind w:firstLine="708"/>
        <w:jc w:val="both"/>
        <w:rPr>
          <w:rFonts w:ascii="Arial" w:hAnsi="Arial" w:cs="Arial"/>
          <w:b/>
          <w:color w:val="2E74B5" w:themeColor="accent1" w:themeShade="BF"/>
          <w:sz w:val="24"/>
          <w:szCs w:val="24"/>
        </w:rPr>
      </w:pPr>
      <w:r w:rsidRPr="00E020E8">
        <w:rPr>
          <w:rFonts w:ascii="Arial" w:hAnsi="Arial" w:cs="Arial"/>
          <w:b/>
          <w:noProof/>
          <w:color w:val="2E74B5" w:themeColor="accent1" w:themeShade="BF"/>
          <w:sz w:val="24"/>
          <w:szCs w:val="24"/>
          <w:lang w:eastAsia="es-MX"/>
        </w:rPr>
        <w:drawing>
          <wp:inline distT="0" distB="0" distL="0" distR="0">
            <wp:extent cx="5039360" cy="5844845"/>
            <wp:effectExtent l="0" t="0" r="8890" b="381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55191" cy="5863206"/>
                    </a:xfrm>
                    <a:prstGeom prst="rect">
                      <a:avLst/>
                    </a:prstGeom>
                    <a:noFill/>
                    <a:ln>
                      <a:noFill/>
                    </a:ln>
                  </pic:spPr>
                </pic:pic>
              </a:graphicData>
            </a:graphic>
          </wp:inline>
        </w:drawing>
      </w:r>
    </w:p>
    <w:p w:rsidR="004A4991" w:rsidRPr="00E020E8" w:rsidRDefault="00E6656F" w:rsidP="00E020E8">
      <w:pPr>
        <w:spacing w:after="0"/>
        <w:ind w:firstLine="708"/>
        <w:jc w:val="both"/>
        <w:rPr>
          <w:rFonts w:ascii="Arial" w:hAnsi="Arial" w:cs="Arial"/>
          <w:color w:val="2E74B5" w:themeColor="accent1" w:themeShade="BF"/>
          <w:sz w:val="24"/>
          <w:szCs w:val="24"/>
        </w:rPr>
      </w:pPr>
      <w:r w:rsidRPr="00E020E8">
        <w:rPr>
          <w:rFonts w:ascii="Arial" w:hAnsi="Arial" w:cs="Arial"/>
          <w:b/>
          <w:color w:val="2E74B5" w:themeColor="accent1" w:themeShade="BF"/>
          <w:sz w:val="24"/>
          <w:szCs w:val="24"/>
        </w:rPr>
        <w:lastRenderedPageBreak/>
        <w:t>CUARTO</w:t>
      </w:r>
      <w:r w:rsidR="004A4991" w:rsidRPr="00E020E8">
        <w:rPr>
          <w:rFonts w:ascii="Arial" w:hAnsi="Arial" w:cs="Arial"/>
          <w:b/>
          <w:color w:val="2E74B5" w:themeColor="accent1" w:themeShade="BF"/>
          <w:sz w:val="24"/>
          <w:szCs w:val="24"/>
        </w:rPr>
        <w:t xml:space="preserve">. Interposición del recurso. </w:t>
      </w:r>
      <w:r w:rsidR="004A4991" w:rsidRPr="00E020E8">
        <w:rPr>
          <w:rFonts w:ascii="Arial" w:hAnsi="Arial" w:cs="Arial"/>
          <w:color w:val="2E74B5" w:themeColor="accent1" w:themeShade="BF"/>
          <w:sz w:val="24"/>
          <w:szCs w:val="24"/>
        </w:rPr>
        <w:t>El 24 veinticuatro de septiembre de 2018 dos mil dieciocho, mediante registro RR00032018 en la Plataforma Nacional de Transparencia, el solicitante de la información interpuso recurso de revisión en contra de la respuesta mencionada en el punto anterior, mismo que ese día quedó presentado ante la Oficialía de Partes de esta Comisión Estatal de Garantía de Acceso a la Información Pública</w:t>
      </w:r>
      <w:r w:rsidR="004A4991" w:rsidRPr="00E020E8">
        <w:rPr>
          <w:rFonts w:ascii="Arial" w:eastAsia="Times New Roman" w:hAnsi="Arial" w:cs="Arial"/>
          <w:color w:val="2E74B5" w:themeColor="accent1" w:themeShade="BF"/>
          <w:sz w:val="24"/>
          <w:szCs w:val="24"/>
          <w:lang w:eastAsia="es-MX"/>
        </w:rPr>
        <w:t>.</w:t>
      </w:r>
    </w:p>
    <w:p w:rsidR="006E30D6" w:rsidRPr="00E020E8" w:rsidRDefault="006E30D6" w:rsidP="00E020E8">
      <w:pPr>
        <w:pStyle w:val="corte4fondo"/>
        <w:spacing w:line="276" w:lineRule="auto"/>
        <w:ind w:firstLine="0"/>
        <w:jc w:val="center"/>
        <w:rPr>
          <w:rFonts w:cs="Arial"/>
          <w:b/>
          <w:color w:val="2E74B5" w:themeColor="accent1" w:themeShade="BF"/>
          <w:sz w:val="24"/>
          <w:szCs w:val="24"/>
        </w:rPr>
      </w:pPr>
    </w:p>
    <w:p w:rsidR="006E30D6" w:rsidRPr="00E020E8" w:rsidRDefault="00E6656F" w:rsidP="00E020E8">
      <w:pPr>
        <w:spacing w:after="0"/>
        <w:ind w:firstLine="709"/>
        <w:jc w:val="both"/>
        <w:rPr>
          <w:rFonts w:ascii="Arial" w:eastAsia="Times New Roman" w:hAnsi="Arial" w:cs="Arial"/>
          <w:color w:val="2E74B5" w:themeColor="accent1" w:themeShade="BF"/>
          <w:sz w:val="24"/>
          <w:szCs w:val="24"/>
          <w:lang w:eastAsia="es-MX"/>
        </w:rPr>
      </w:pPr>
      <w:r w:rsidRPr="00E020E8">
        <w:rPr>
          <w:rFonts w:ascii="Arial" w:hAnsi="Arial" w:cs="Arial"/>
          <w:b/>
          <w:color w:val="2E74B5" w:themeColor="accent1" w:themeShade="BF"/>
          <w:sz w:val="24"/>
          <w:szCs w:val="24"/>
        </w:rPr>
        <w:t>QUINTO</w:t>
      </w:r>
      <w:r w:rsidR="006E30D6" w:rsidRPr="00E020E8">
        <w:rPr>
          <w:rFonts w:ascii="Arial" w:eastAsia="Times New Roman" w:hAnsi="Arial" w:cs="Arial"/>
          <w:b/>
          <w:color w:val="2E74B5" w:themeColor="accent1" w:themeShade="BF"/>
          <w:sz w:val="24"/>
          <w:szCs w:val="24"/>
          <w:lang w:eastAsia="es-MX"/>
        </w:rPr>
        <w:t xml:space="preserve">. Trámite del recurso de revisión ante esta Comisión Estatal de Garantía de Acceso a la Información Pública. </w:t>
      </w:r>
      <w:r w:rsidR="006E30D6" w:rsidRPr="00E020E8">
        <w:rPr>
          <w:rFonts w:ascii="Arial" w:eastAsia="Times New Roman" w:hAnsi="Arial" w:cs="Arial"/>
          <w:color w:val="2E74B5" w:themeColor="accent1" w:themeShade="BF"/>
          <w:sz w:val="24"/>
          <w:szCs w:val="24"/>
          <w:lang w:eastAsia="es-MX"/>
        </w:rPr>
        <w:t xml:space="preserve">Mediante auto del </w:t>
      </w:r>
      <w:r w:rsidR="004A4991" w:rsidRPr="00E020E8">
        <w:rPr>
          <w:rFonts w:ascii="Arial" w:eastAsia="Times New Roman" w:hAnsi="Arial" w:cs="Arial"/>
          <w:color w:val="2E74B5" w:themeColor="accent1" w:themeShade="BF"/>
          <w:sz w:val="24"/>
          <w:szCs w:val="24"/>
          <w:lang w:eastAsia="es-MX"/>
        </w:rPr>
        <w:t xml:space="preserve">25 veinticinco de septiembre </w:t>
      </w:r>
      <w:r w:rsidR="006E30D6" w:rsidRPr="00E020E8">
        <w:rPr>
          <w:rFonts w:ascii="Arial" w:eastAsia="Times New Roman" w:hAnsi="Arial" w:cs="Arial"/>
          <w:color w:val="2E74B5" w:themeColor="accent1" w:themeShade="BF"/>
          <w:sz w:val="24"/>
          <w:szCs w:val="24"/>
          <w:lang w:eastAsia="es-MX"/>
        </w:rPr>
        <w:t>de 2018 dos mil dieciocho la presidencia de esta Comisión de Transparencia tuvo por recibido el recurso de revisión, por lo que, por razón de turno, tocó conocer a la ponencia de la Licenciada Paulina Sánchez Pérez del Pozo por lo que se le turnó dicho expediente para que procediera, previo su análisis, a su admisión o desechamiento según fuera el caso.</w:t>
      </w:r>
    </w:p>
    <w:p w:rsidR="006E30D6" w:rsidRPr="00E020E8" w:rsidRDefault="006E30D6" w:rsidP="00E020E8">
      <w:pPr>
        <w:pStyle w:val="corte4fondo"/>
        <w:spacing w:line="276" w:lineRule="auto"/>
        <w:rPr>
          <w:rFonts w:cs="Arial"/>
          <w:color w:val="2E74B5" w:themeColor="accent1" w:themeShade="BF"/>
          <w:sz w:val="24"/>
          <w:szCs w:val="24"/>
        </w:rPr>
      </w:pPr>
    </w:p>
    <w:p w:rsidR="006E30D6" w:rsidRPr="00E020E8" w:rsidRDefault="00E6656F" w:rsidP="00E020E8">
      <w:pPr>
        <w:pStyle w:val="corte4fondo"/>
        <w:spacing w:line="276" w:lineRule="auto"/>
        <w:rPr>
          <w:rFonts w:cs="Arial"/>
          <w:color w:val="2E74B5" w:themeColor="accent1" w:themeShade="BF"/>
          <w:sz w:val="24"/>
          <w:szCs w:val="24"/>
        </w:rPr>
      </w:pPr>
      <w:r w:rsidRPr="00E020E8">
        <w:rPr>
          <w:rFonts w:cs="Arial"/>
          <w:b/>
          <w:color w:val="2E74B5" w:themeColor="accent1" w:themeShade="BF"/>
          <w:sz w:val="24"/>
          <w:szCs w:val="24"/>
        </w:rPr>
        <w:t>SEXTO</w:t>
      </w:r>
      <w:r w:rsidR="006E30D6" w:rsidRPr="00E020E8">
        <w:rPr>
          <w:rFonts w:cs="Arial"/>
          <w:b/>
          <w:color w:val="2E74B5" w:themeColor="accent1" w:themeShade="BF"/>
          <w:sz w:val="24"/>
          <w:szCs w:val="24"/>
        </w:rPr>
        <w:t xml:space="preserve">. Auto de admisión y trámite. </w:t>
      </w:r>
      <w:r w:rsidR="006E30D6" w:rsidRPr="00E020E8">
        <w:rPr>
          <w:rFonts w:cs="Arial"/>
          <w:color w:val="2E74B5" w:themeColor="accent1" w:themeShade="BF"/>
          <w:sz w:val="24"/>
          <w:szCs w:val="24"/>
        </w:rPr>
        <w:t xml:space="preserve">Por proveído del </w:t>
      </w:r>
      <w:r w:rsidR="004A4991" w:rsidRPr="00E020E8">
        <w:rPr>
          <w:rFonts w:cs="Arial"/>
          <w:color w:val="2E74B5" w:themeColor="accent1" w:themeShade="BF"/>
          <w:sz w:val="24"/>
          <w:szCs w:val="24"/>
        </w:rPr>
        <w:t xml:space="preserve">01 uno de octubre </w:t>
      </w:r>
      <w:r w:rsidR="006E30D6" w:rsidRPr="00E020E8">
        <w:rPr>
          <w:rFonts w:cs="Arial"/>
          <w:color w:val="2E74B5" w:themeColor="accent1" w:themeShade="BF"/>
          <w:sz w:val="24"/>
          <w:szCs w:val="24"/>
        </w:rPr>
        <w:t xml:space="preserve">de 2018 dos mil dieciocho, la Comisionado Ponente acordó la admisión del recurso de revisión por actualizarse la hipótesis establecida en la fracción </w:t>
      </w:r>
      <w:r w:rsidR="004A4991" w:rsidRPr="00E020E8">
        <w:rPr>
          <w:rFonts w:cs="Arial"/>
          <w:color w:val="2E74B5" w:themeColor="accent1" w:themeShade="BF"/>
          <w:sz w:val="24"/>
          <w:szCs w:val="24"/>
        </w:rPr>
        <w:t>I, II, III, IV, V, VI y VII</w:t>
      </w:r>
      <w:r w:rsidR="006E30D6" w:rsidRPr="00E020E8">
        <w:rPr>
          <w:rFonts w:cs="Arial"/>
          <w:color w:val="2E74B5" w:themeColor="accent1" w:themeShade="BF"/>
          <w:sz w:val="24"/>
          <w:szCs w:val="24"/>
        </w:rPr>
        <w:t xml:space="preserve"> del artículo 167 de la Ley de Transparencia y Acceso a la Información Pública, de la misma manera:</w:t>
      </w:r>
    </w:p>
    <w:p w:rsidR="006E30D6" w:rsidRPr="00E020E8" w:rsidRDefault="006E30D6" w:rsidP="00E020E8">
      <w:pPr>
        <w:pStyle w:val="corte4fondo"/>
        <w:spacing w:line="276" w:lineRule="auto"/>
        <w:rPr>
          <w:rFonts w:cs="Arial"/>
          <w:color w:val="2E74B5" w:themeColor="accent1" w:themeShade="BF"/>
          <w:sz w:val="24"/>
          <w:szCs w:val="24"/>
        </w:rPr>
      </w:pPr>
    </w:p>
    <w:p w:rsidR="006E30D6" w:rsidRPr="00E020E8" w:rsidRDefault="006E30D6" w:rsidP="00E020E8">
      <w:pPr>
        <w:pStyle w:val="corte4fondo"/>
        <w:numPr>
          <w:ilvl w:val="0"/>
          <w:numId w:val="2"/>
        </w:numPr>
        <w:spacing w:line="276" w:lineRule="auto"/>
        <w:rPr>
          <w:rFonts w:cs="Arial"/>
          <w:color w:val="2E74B5" w:themeColor="accent1" w:themeShade="BF"/>
          <w:sz w:val="24"/>
          <w:szCs w:val="24"/>
        </w:rPr>
      </w:pPr>
      <w:r w:rsidRPr="00E020E8">
        <w:rPr>
          <w:rFonts w:cs="Arial"/>
          <w:color w:val="2E74B5" w:themeColor="accent1" w:themeShade="BF"/>
          <w:sz w:val="24"/>
          <w:szCs w:val="24"/>
        </w:rPr>
        <w:t>Registró en el Libro de Gobierno el</w:t>
      </w:r>
      <w:r w:rsidR="004A4991" w:rsidRPr="00E020E8">
        <w:rPr>
          <w:rFonts w:cs="Arial"/>
          <w:color w:val="2E74B5" w:themeColor="accent1" w:themeShade="BF"/>
          <w:sz w:val="24"/>
          <w:szCs w:val="24"/>
        </w:rPr>
        <w:t xml:space="preserve"> presente expediente como RR-749/2018-2 PNT</w:t>
      </w:r>
      <w:r w:rsidRPr="00E020E8">
        <w:rPr>
          <w:rFonts w:cs="Arial"/>
          <w:color w:val="2E74B5" w:themeColor="accent1" w:themeShade="BF"/>
          <w:sz w:val="24"/>
          <w:szCs w:val="24"/>
        </w:rPr>
        <w:t>.</w:t>
      </w:r>
    </w:p>
    <w:p w:rsidR="006E30D6" w:rsidRPr="00E020E8" w:rsidRDefault="006E30D6" w:rsidP="00E020E8">
      <w:pPr>
        <w:pStyle w:val="corte4fondo"/>
        <w:numPr>
          <w:ilvl w:val="0"/>
          <w:numId w:val="2"/>
        </w:numPr>
        <w:spacing w:line="276" w:lineRule="auto"/>
        <w:rPr>
          <w:rFonts w:cs="Arial"/>
          <w:color w:val="2E74B5" w:themeColor="accent1" w:themeShade="BF"/>
          <w:sz w:val="24"/>
          <w:szCs w:val="24"/>
        </w:rPr>
      </w:pPr>
      <w:r w:rsidRPr="00E020E8">
        <w:rPr>
          <w:rFonts w:cs="Arial"/>
          <w:color w:val="2E74B5" w:themeColor="accent1" w:themeShade="BF"/>
          <w:sz w:val="24"/>
          <w:szCs w:val="24"/>
        </w:rPr>
        <w:t>Admitió a trámite el presente recurso de revisión.</w:t>
      </w:r>
    </w:p>
    <w:p w:rsidR="006E30D6" w:rsidRPr="00E020E8" w:rsidRDefault="006E30D6" w:rsidP="00E020E8">
      <w:pPr>
        <w:pStyle w:val="corte4fondo"/>
        <w:numPr>
          <w:ilvl w:val="0"/>
          <w:numId w:val="2"/>
        </w:numPr>
        <w:spacing w:line="276" w:lineRule="auto"/>
        <w:rPr>
          <w:rFonts w:cs="Arial"/>
          <w:b/>
          <w:color w:val="2E74B5" w:themeColor="accent1" w:themeShade="BF"/>
          <w:sz w:val="24"/>
          <w:szCs w:val="24"/>
        </w:rPr>
      </w:pPr>
      <w:r w:rsidRPr="00E020E8">
        <w:rPr>
          <w:rFonts w:cs="Arial"/>
          <w:color w:val="2E74B5" w:themeColor="accent1" w:themeShade="BF"/>
          <w:sz w:val="24"/>
          <w:szCs w:val="24"/>
        </w:rPr>
        <w:t>Tuvo como sujeto obligado al</w:t>
      </w:r>
      <w:r w:rsidRPr="00E020E8">
        <w:rPr>
          <w:rFonts w:cs="Arial"/>
          <w:b/>
          <w:color w:val="2E74B5" w:themeColor="accent1" w:themeShade="BF"/>
          <w:sz w:val="24"/>
          <w:szCs w:val="24"/>
        </w:rPr>
        <w:t xml:space="preserve"> GOBIERNO DEL ESTADO DE SAN LUIS POTOSÍ, POR CONDUCTO DE LA OFICIALÍA MAYOR A TRAVÉS DE SU TITULAR Y DEL TITULAR DE LA UNIDAD DE TRANSPARENCIA</w:t>
      </w:r>
      <w:r w:rsidRPr="00E020E8">
        <w:rPr>
          <w:rFonts w:cs="Arial"/>
          <w:color w:val="2E74B5" w:themeColor="accent1" w:themeShade="BF"/>
          <w:sz w:val="24"/>
          <w:szCs w:val="24"/>
        </w:rPr>
        <w:t>.</w:t>
      </w:r>
    </w:p>
    <w:p w:rsidR="006E30D6" w:rsidRPr="00E020E8" w:rsidRDefault="006E30D6" w:rsidP="00E020E8">
      <w:pPr>
        <w:pStyle w:val="corte4fondo"/>
        <w:numPr>
          <w:ilvl w:val="0"/>
          <w:numId w:val="2"/>
        </w:numPr>
        <w:spacing w:line="276" w:lineRule="auto"/>
        <w:rPr>
          <w:rFonts w:cs="Arial"/>
          <w:color w:val="2E74B5" w:themeColor="accent1" w:themeShade="BF"/>
          <w:sz w:val="24"/>
          <w:szCs w:val="24"/>
        </w:rPr>
      </w:pPr>
      <w:r w:rsidRPr="00E020E8">
        <w:rPr>
          <w:rFonts w:cs="Arial"/>
          <w:color w:val="2E74B5" w:themeColor="accent1" w:themeShade="BF"/>
          <w:sz w:val="24"/>
          <w:szCs w:val="24"/>
        </w:rPr>
        <w:t>Se le tuvo al recurrente por señalada dirección electrónica para oír notificaciones.</w:t>
      </w:r>
    </w:p>
    <w:p w:rsidR="006E30D6" w:rsidRPr="00E020E8" w:rsidRDefault="006E30D6" w:rsidP="00E020E8">
      <w:pPr>
        <w:pStyle w:val="corte4fondo"/>
        <w:numPr>
          <w:ilvl w:val="0"/>
          <w:numId w:val="2"/>
        </w:numPr>
        <w:spacing w:line="276" w:lineRule="auto"/>
        <w:rPr>
          <w:rFonts w:cs="Arial"/>
          <w:color w:val="2E74B5" w:themeColor="accent1" w:themeShade="BF"/>
          <w:sz w:val="24"/>
          <w:szCs w:val="24"/>
        </w:rPr>
      </w:pPr>
      <w:r w:rsidRPr="00E020E8">
        <w:rPr>
          <w:rFonts w:cs="Arial"/>
          <w:color w:val="2E74B5" w:themeColor="accent1" w:themeShade="BF"/>
          <w:sz w:val="24"/>
          <w:szCs w:val="24"/>
        </w:rPr>
        <w:t xml:space="preserve">Se puso a disposición de las partes el expediente para que en un plazo máximo de 7 siete días manifestaran lo que a su derecho conviniera –ofrecer pruebas y alegar–.  </w:t>
      </w:r>
    </w:p>
    <w:p w:rsidR="006E30D6" w:rsidRPr="00E020E8" w:rsidRDefault="006E30D6" w:rsidP="00E020E8">
      <w:pPr>
        <w:pStyle w:val="corte4fondo"/>
        <w:spacing w:line="276" w:lineRule="auto"/>
        <w:rPr>
          <w:rFonts w:cs="Arial"/>
          <w:color w:val="2E74B5" w:themeColor="accent1" w:themeShade="BF"/>
          <w:sz w:val="24"/>
          <w:szCs w:val="24"/>
        </w:rPr>
      </w:pPr>
    </w:p>
    <w:p w:rsidR="006E30D6" w:rsidRPr="00E020E8" w:rsidRDefault="006E30D6" w:rsidP="00E020E8">
      <w:pPr>
        <w:pStyle w:val="corte4fondo"/>
        <w:spacing w:line="276" w:lineRule="auto"/>
        <w:rPr>
          <w:rFonts w:cs="Arial"/>
          <w:color w:val="2E74B5" w:themeColor="accent1" w:themeShade="BF"/>
          <w:sz w:val="24"/>
          <w:szCs w:val="24"/>
        </w:rPr>
      </w:pPr>
      <w:r w:rsidRPr="00E020E8">
        <w:rPr>
          <w:rFonts w:cs="Arial"/>
          <w:color w:val="2E74B5" w:themeColor="accent1" w:themeShade="BF"/>
          <w:sz w:val="24"/>
          <w:szCs w:val="24"/>
        </w:rPr>
        <w:t>Asimismo, en ese auto la ponente expresó que el sujeto obligado debería informar a esta Comisión de Transparencia si la información que le fue solicitada:</w:t>
      </w:r>
    </w:p>
    <w:p w:rsidR="006E30D6" w:rsidRPr="00E020E8" w:rsidRDefault="006E30D6" w:rsidP="00E020E8">
      <w:pPr>
        <w:pStyle w:val="corte4fondo"/>
        <w:spacing w:line="276" w:lineRule="auto"/>
        <w:rPr>
          <w:rFonts w:cs="Arial"/>
          <w:color w:val="2E74B5" w:themeColor="accent1" w:themeShade="BF"/>
          <w:sz w:val="24"/>
          <w:szCs w:val="24"/>
        </w:rPr>
      </w:pPr>
    </w:p>
    <w:p w:rsidR="006E30D6" w:rsidRPr="00E020E8" w:rsidRDefault="006E30D6" w:rsidP="00E020E8">
      <w:pPr>
        <w:pStyle w:val="corte4fondo"/>
        <w:numPr>
          <w:ilvl w:val="0"/>
          <w:numId w:val="1"/>
        </w:numPr>
        <w:spacing w:line="276" w:lineRule="auto"/>
        <w:rPr>
          <w:rFonts w:cs="Arial"/>
          <w:color w:val="2E74B5" w:themeColor="accent1" w:themeShade="BF"/>
          <w:sz w:val="24"/>
          <w:szCs w:val="24"/>
        </w:rPr>
      </w:pPr>
      <w:r w:rsidRPr="00E020E8">
        <w:rPr>
          <w:rFonts w:cs="Arial"/>
          <w:color w:val="2E74B5" w:themeColor="accent1" w:themeShade="BF"/>
          <w:sz w:val="24"/>
          <w:szCs w:val="24"/>
        </w:rPr>
        <w:t>Se encontraba en sus archivos.</w:t>
      </w:r>
    </w:p>
    <w:p w:rsidR="006E30D6" w:rsidRPr="00E020E8" w:rsidRDefault="006E30D6" w:rsidP="00E020E8">
      <w:pPr>
        <w:pStyle w:val="corte4fondo"/>
        <w:numPr>
          <w:ilvl w:val="0"/>
          <w:numId w:val="1"/>
        </w:numPr>
        <w:spacing w:line="276" w:lineRule="auto"/>
        <w:rPr>
          <w:rFonts w:cs="Arial"/>
          <w:color w:val="2E74B5" w:themeColor="accent1" w:themeShade="BF"/>
          <w:sz w:val="24"/>
          <w:szCs w:val="24"/>
        </w:rPr>
      </w:pPr>
      <w:r w:rsidRPr="00E020E8">
        <w:rPr>
          <w:rFonts w:cs="Arial"/>
          <w:color w:val="2E74B5" w:themeColor="accent1" w:themeShade="BF"/>
          <w:sz w:val="24"/>
          <w:szCs w:val="24"/>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6E30D6" w:rsidRPr="00E020E8" w:rsidRDefault="006E30D6" w:rsidP="00E020E8">
      <w:pPr>
        <w:pStyle w:val="corte4fondo"/>
        <w:numPr>
          <w:ilvl w:val="0"/>
          <w:numId w:val="1"/>
        </w:numPr>
        <w:spacing w:line="276" w:lineRule="auto"/>
        <w:rPr>
          <w:rFonts w:cs="Arial"/>
          <w:color w:val="2E74B5" w:themeColor="accent1" w:themeShade="BF"/>
          <w:sz w:val="24"/>
          <w:szCs w:val="24"/>
        </w:rPr>
      </w:pPr>
      <w:r w:rsidRPr="00E020E8">
        <w:rPr>
          <w:rFonts w:cs="Arial"/>
          <w:color w:val="2E74B5" w:themeColor="accent1" w:themeShade="BF"/>
          <w:sz w:val="24"/>
          <w:szCs w:val="24"/>
        </w:rPr>
        <w:t xml:space="preserve">Se encontraba en una de las excepciones del derecho de acceso a la información como impedimento legal para su entrega –cuando se trate de información reservada o confidencial–. </w:t>
      </w:r>
    </w:p>
    <w:p w:rsidR="006E30D6" w:rsidRPr="00E020E8" w:rsidRDefault="006E30D6" w:rsidP="00E020E8">
      <w:pPr>
        <w:pStyle w:val="Prrafodelista"/>
        <w:numPr>
          <w:ilvl w:val="0"/>
          <w:numId w:val="1"/>
        </w:numPr>
        <w:spacing w:line="276" w:lineRule="auto"/>
        <w:rPr>
          <w:rFonts w:ascii="Arial" w:hAnsi="Arial" w:cs="Arial"/>
          <w:color w:val="2E74B5" w:themeColor="accent1" w:themeShade="BF"/>
          <w:sz w:val="24"/>
          <w:lang w:eastAsia="es-MX"/>
        </w:rPr>
      </w:pPr>
      <w:r w:rsidRPr="00E020E8">
        <w:rPr>
          <w:rFonts w:ascii="Arial" w:hAnsi="Arial" w:cs="Arial"/>
          <w:color w:val="2E74B5" w:themeColor="accent1" w:themeShade="BF"/>
          <w:sz w:val="24"/>
          <w:lang w:eastAsia="es-MX"/>
        </w:rPr>
        <w:lastRenderedPageBreak/>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6E30D6" w:rsidRPr="00E020E8" w:rsidRDefault="006E30D6" w:rsidP="00E020E8">
      <w:pPr>
        <w:pStyle w:val="corte4fondo"/>
        <w:spacing w:line="276" w:lineRule="auto"/>
        <w:rPr>
          <w:rFonts w:cs="Arial"/>
          <w:color w:val="2E74B5" w:themeColor="accent1" w:themeShade="BF"/>
          <w:sz w:val="24"/>
          <w:szCs w:val="24"/>
        </w:rPr>
      </w:pPr>
    </w:p>
    <w:p w:rsidR="006E30D6" w:rsidRPr="00E020E8" w:rsidRDefault="00E6656F" w:rsidP="00E020E8">
      <w:pPr>
        <w:pStyle w:val="corte4fondo"/>
        <w:spacing w:line="276" w:lineRule="auto"/>
        <w:ind w:firstLine="567"/>
        <w:rPr>
          <w:rFonts w:cs="Arial"/>
          <w:b/>
          <w:color w:val="2E74B5" w:themeColor="accent1" w:themeShade="BF"/>
          <w:sz w:val="24"/>
          <w:szCs w:val="24"/>
        </w:rPr>
      </w:pPr>
      <w:r w:rsidRPr="00E020E8">
        <w:rPr>
          <w:rFonts w:cs="Arial"/>
          <w:b/>
          <w:color w:val="2E74B5" w:themeColor="accent1" w:themeShade="BF"/>
          <w:sz w:val="24"/>
          <w:szCs w:val="24"/>
        </w:rPr>
        <w:t>SÉPTIMO</w:t>
      </w:r>
      <w:r w:rsidR="006E30D6" w:rsidRPr="00E020E8">
        <w:rPr>
          <w:rFonts w:cs="Arial"/>
          <w:b/>
          <w:color w:val="2E74B5" w:themeColor="accent1" w:themeShade="BF"/>
          <w:sz w:val="24"/>
          <w:szCs w:val="24"/>
        </w:rPr>
        <w:t>. Informe de los sujetos obligados</w:t>
      </w:r>
      <w:r w:rsidR="006E30D6" w:rsidRPr="00E020E8">
        <w:rPr>
          <w:rFonts w:cs="Arial"/>
          <w:color w:val="2E74B5" w:themeColor="accent1" w:themeShade="BF"/>
          <w:sz w:val="24"/>
          <w:szCs w:val="24"/>
        </w:rPr>
        <w:t xml:space="preserve">. Por proveído del </w:t>
      </w:r>
      <w:r w:rsidR="00425ABE" w:rsidRPr="00E020E8">
        <w:rPr>
          <w:rFonts w:cs="Arial"/>
          <w:color w:val="2E74B5" w:themeColor="accent1" w:themeShade="BF"/>
          <w:sz w:val="24"/>
          <w:szCs w:val="24"/>
        </w:rPr>
        <w:t xml:space="preserve">26 veintiséis de octubre </w:t>
      </w:r>
      <w:r w:rsidR="006E30D6" w:rsidRPr="00E020E8">
        <w:rPr>
          <w:rFonts w:cs="Arial"/>
          <w:color w:val="2E74B5" w:themeColor="accent1" w:themeShade="BF"/>
          <w:sz w:val="24"/>
          <w:szCs w:val="24"/>
        </w:rPr>
        <w:t>de 2018 dos mil dieciocho la ponente del presente asunto tuvo:</w:t>
      </w:r>
    </w:p>
    <w:p w:rsidR="006E30D6" w:rsidRPr="00E020E8" w:rsidRDefault="006E30D6" w:rsidP="00E020E8">
      <w:pPr>
        <w:pStyle w:val="corte4fondo"/>
        <w:spacing w:line="276" w:lineRule="auto"/>
        <w:ind w:left="709" w:firstLine="0"/>
        <w:rPr>
          <w:rFonts w:cs="Arial"/>
          <w:color w:val="2E74B5" w:themeColor="accent1" w:themeShade="BF"/>
          <w:sz w:val="24"/>
          <w:szCs w:val="24"/>
        </w:rPr>
      </w:pPr>
    </w:p>
    <w:p w:rsidR="006E30D6" w:rsidRPr="00E020E8" w:rsidRDefault="006E30D6" w:rsidP="00E020E8">
      <w:pPr>
        <w:pStyle w:val="corte4fondo"/>
        <w:numPr>
          <w:ilvl w:val="0"/>
          <w:numId w:val="4"/>
        </w:numPr>
        <w:spacing w:line="276" w:lineRule="auto"/>
        <w:ind w:left="1495"/>
        <w:rPr>
          <w:rFonts w:cs="Arial"/>
          <w:color w:val="2E74B5" w:themeColor="accent1" w:themeShade="BF"/>
          <w:sz w:val="24"/>
          <w:szCs w:val="24"/>
        </w:rPr>
      </w:pPr>
      <w:r w:rsidRPr="00E020E8">
        <w:rPr>
          <w:rFonts w:cs="Arial"/>
          <w:color w:val="2E74B5" w:themeColor="accent1" w:themeShade="BF"/>
          <w:sz w:val="24"/>
          <w:szCs w:val="24"/>
        </w:rPr>
        <w:t>Por recibido el oficio OM/UT-2</w:t>
      </w:r>
      <w:r w:rsidR="00425ABE" w:rsidRPr="00E020E8">
        <w:rPr>
          <w:rFonts w:cs="Arial"/>
          <w:color w:val="2E74B5" w:themeColor="accent1" w:themeShade="BF"/>
          <w:sz w:val="24"/>
          <w:szCs w:val="24"/>
        </w:rPr>
        <w:t>73</w:t>
      </w:r>
      <w:r w:rsidRPr="00E020E8">
        <w:rPr>
          <w:rFonts w:cs="Arial"/>
          <w:color w:val="2E74B5" w:themeColor="accent1" w:themeShade="BF"/>
          <w:sz w:val="24"/>
          <w:szCs w:val="24"/>
        </w:rPr>
        <w:t xml:space="preserve">/2018 firmado por </w:t>
      </w:r>
      <w:r w:rsidRPr="00E020E8">
        <w:rPr>
          <w:rFonts w:cs="Arial"/>
          <w:b/>
          <w:color w:val="2E74B5" w:themeColor="accent1" w:themeShade="BF"/>
          <w:sz w:val="24"/>
          <w:szCs w:val="24"/>
        </w:rPr>
        <w:t xml:space="preserve">EL JEFE DE LA UNIDAD DE TRANSPARENCIA </w:t>
      </w:r>
      <w:r w:rsidRPr="00E020E8">
        <w:rPr>
          <w:rFonts w:cs="Arial"/>
          <w:color w:val="2E74B5" w:themeColor="accent1" w:themeShade="BF"/>
          <w:sz w:val="24"/>
          <w:szCs w:val="24"/>
        </w:rPr>
        <w:t>del sujeto obligado.</w:t>
      </w:r>
    </w:p>
    <w:p w:rsidR="006E30D6" w:rsidRPr="00E020E8" w:rsidRDefault="006E30D6" w:rsidP="00E020E8">
      <w:pPr>
        <w:pStyle w:val="corte4fondo"/>
        <w:numPr>
          <w:ilvl w:val="0"/>
          <w:numId w:val="4"/>
        </w:numPr>
        <w:spacing w:line="276" w:lineRule="auto"/>
        <w:ind w:left="1495"/>
        <w:rPr>
          <w:rFonts w:cs="Arial"/>
          <w:color w:val="2E74B5" w:themeColor="accent1" w:themeShade="BF"/>
          <w:sz w:val="24"/>
          <w:szCs w:val="24"/>
        </w:rPr>
      </w:pPr>
      <w:r w:rsidRPr="00E020E8">
        <w:rPr>
          <w:rFonts w:cs="Arial"/>
          <w:color w:val="2E74B5" w:themeColor="accent1" w:themeShade="BF"/>
          <w:sz w:val="24"/>
          <w:szCs w:val="24"/>
        </w:rPr>
        <w:t xml:space="preserve">Por reconocida su personalidad. </w:t>
      </w:r>
    </w:p>
    <w:p w:rsidR="006E30D6" w:rsidRPr="00E020E8" w:rsidRDefault="006E30D6" w:rsidP="00E020E8">
      <w:pPr>
        <w:pStyle w:val="corte4fondo"/>
        <w:numPr>
          <w:ilvl w:val="0"/>
          <w:numId w:val="4"/>
        </w:numPr>
        <w:spacing w:line="276" w:lineRule="auto"/>
        <w:rPr>
          <w:rFonts w:cs="Arial"/>
          <w:color w:val="2E74B5" w:themeColor="accent1" w:themeShade="BF"/>
          <w:sz w:val="24"/>
          <w:szCs w:val="24"/>
        </w:rPr>
      </w:pPr>
      <w:r w:rsidRPr="00E020E8">
        <w:rPr>
          <w:rFonts w:cs="Arial"/>
          <w:color w:val="2E74B5" w:themeColor="accent1" w:themeShade="BF"/>
          <w:sz w:val="24"/>
          <w:szCs w:val="24"/>
        </w:rPr>
        <w:t>Por rendido en tiempo y forma el informe solicitado.</w:t>
      </w:r>
    </w:p>
    <w:p w:rsidR="006E30D6" w:rsidRPr="00E020E8" w:rsidRDefault="006E30D6" w:rsidP="00E020E8">
      <w:pPr>
        <w:pStyle w:val="corte4fondo"/>
        <w:numPr>
          <w:ilvl w:val="0"/>
          <w:numId w:val="4"/>
        </w:numPr>
        <w:spacing w:line="276" w:lineRule="auto"/>
        <w:rPr>
          <w:rFonts w:cs="Arial"/>
          <w:color w:val="2E74B5" w:themeColor="accent1" w:themeShade="BF"/>
          <w:sz w:val="24"/>
          <w:szCs w:val="24"/>
        </w:rPr>
      </w:pPr>
      <w:r w:rsidRPr="00E020E8">
        <w:rPr>
          <w:rFonts w:cs="Arial"/>
          <w:color w:val="2E74B5" w:themeColor="accent1" w:themeShade="BF"/>
          <w:sz w:val="24"/>
          <w:szCs w:val="24"/>
        </w:rPr>
        <w:t>Por expresados los argumentos relacionados con el presente asunto.</w:t>
      </w:r>
    </w:p>
    <w:p w:rsidR="006E30D6" w:rsidRPr="00E020E8" w:rsidRDefault="006E30D6" w:rsidP="00E020E8">
      <w:pPr>
        <w:pStyle w:val="corte4fondo"/>
        <w:numPr>
          <w:ilvl w:val="0"/>
          <w:numId w:val="4"/>
        </w:numPr>
        <w:tabs>
          <w:tab w:val="left" w:pos="0"/>
        </w:tabs>
        <w:spacing w:line="276" w:lineRule="auto"/>
        <w:rPr>
          <w:rFonts w:cs="Arial"/>
          <w:color w:val="2E74B5" w:themeColor="accent1" w:themeShade="BF"/>
          <w:sz w:val="24"/>
          <w:szCs w:val="24"/>
        </w:rPr>
      </w:pPr>
      <w:r w:rsidRPr="00E020E8">
        <w:rPr>
          <w:rFonts w:cs="Arial"/>
          <w:color w:val="2E74B5" w:themeColor="accent1" w:themeShade="BF"/>
          <w:sz w:val="24"/>
          <w:szCs w:val="24"/>
        </w:rPr>
        <w:t>Por señalando domicilio para oír y recibir notificaciones</w:t>
      </w:r>
      <w:r w:rsidRPr="00E020E8">
        <w:rPr>
          <w:rFonts w:cs="Arial"/>
          <w:color w:val="2E74B5" w:themeColor="accent1" w:themeShade="BF"/>
          <w:sz w:val="24"/>
          <w:szCs w:val="24"/>
        </w:rPr>
        <w:tab/>
      </w:r>
    </w:p>
    <w:p w:rsidR="006E30D6" w:rsidRPr="00E020E8" w:rsidRDefault="006E30D6" w:rsidP="00E020E8">
      <w:pPr>
        <w:pStyle w:val="corte4fondo"/>
        <w:spacing w:line="276" w:lineRule="auto"/>
        <w:ind w:left="1510" w:firstLine="0"/>
        <w:rPr>
          <w:rFonts w:cs="Arial"/>
          <w:color w:val="2E74B5" w:themeColor="accent1" w:themeShade="BF"/>
          <w:sz w:val="24"/>
          <w:szCs w:val="24"/>
        </w:rPr>
      </w:pPr>
    </w:p>
    <w:p w:rsidR="006E30D6" w:rsidRPr="00E020E8" w:rsidRDefault="006E30D6" w:rsidP="00E020E8">
      <w:pPr>
        <w:pStyle w:val="corte4fondo"/>
        <w:tabs>
          <w:tab w:val="left" w:pos="0"/>
        </w:tabs>
        <w:spacing w:line="276" w:lineRule="auto"/>
        <w:ind w:firstLine="0"/>
        <w:rPr>
          <w:rFonts w:cs="Arial"/>
          <w:color w:val="2E74B5" w:themeColor="accent1" w:themeShade="BF"/>
          <w:sz w:val="24"/>
          <w:szCs w:val="24"/>
        </w:rPr>
      </w:pPr>
      <w:r w:rsidRPr="00E020E8">
        <w:rPr>
          <w:rFonts w:cs="Arial"/>
          <w:color w:val="2E74B5" w:themeColor="accent1" w:themeShade="BF"/>
          <w:sz w:val="24"/>
          <w:szCs w:val="24"/>
        </w:rPr>
        <w:tab/>
        <w:t>Respecto de la parte recurrente, se advirtió que no compareció a realizar las manifestaciones que a su derecho conviniera – ofrecer pruebas y alegar.</w:t>
      </w:r>
    </w:p>
    <w:p w:rsidR="006E30D6" w:rsidRPr="00E020E8" w:rsidRDefault="006E30D6" w:rsidP="00E020E8">
      <w:pPr>
        <w:pStyle w:val="corte4fondo"/>
        <w:tabs>
          <w:tab w:val="left" w:pos="0"/>
        </w:tabs>
        <w:spacing w:line="276" w:lineRule="auto"/>
        <w:ind w:firstLine="0"/>
        <w:rPr>
          <w:rFonts w:cs="Arial"/>
          <w:color w:val="2E74B5" w:themeColor="accent1" w:themeShade="BF"/>
          <w:sz w:val="24"/>
          <w:szCs w:val="24"/>
        </w:rPr>
      </w:pPr>
    </w:p>
    <w:p w:rsidR="006E30D6" w:rsidRPr="00E020E8" w:rsidRDefault="00E6656F" w:rsidP="00E020E8">
      <w:pPr>
        <w:pStyle w:val="corte4fondo"/>
        <w:spacing w:line="276" w:lineRule="auto"/>
        <w:ind w:firstLine="708"/>
        <w:rPr>
          <w:rFonts w:cs="Arial"/>
          <w:color w:val="2E74B5" w:themeColor="accent1" w:themeShade="BF"/>
          <w:sz w:val="24"/>
          <w:szCs w:val="24"/>
          <w:lang w:val="es-ES"/>
        </w:rPr>
      </w:pPr>
      <w:r w:rsidRPr="00E020E8">
        <w:rPr>
          <w:rFonts w:cs="Arial"/>
          <w:b/>
          <w:color w:val="2E74B5" w:themeColor="accent1" w:themeShade="BF"/>
          <w:sz w:val="24"/>
          <w:szCs w:val="24"/>
        </w:rPr>
        <w:t>OCTAVO</w:t>
      </w:r>
      <w:r w:rsidR="006E30D6" w:rsidRPr="00E020E8">
        <w:rPr>
          <w:rFonts w:cs="Arial"/>
          <w:b/>
          <w:color w:val="2E74B5" w:themeColor="accent1" w:themeShade="BF"/>
          <w:sz w:val="24"/>
          <w:szCs w:val="24"/>
        </w:rPr>
        <w:t>. Ampliación del plazo para resolver.</w:t>
      </w:r>
      <w:r w:rsidR="006E30D6" w:rsidRPr="00E020E8">
        <w:rPr>
          <w:rFonts w:cs="Arial"/>
          <w:color w:val="2E74B5" w:themeColor="accent1" w:themeShade="BF"/>
          <w:sz w:val="24"/>
          <w:szCs w:val="24"/>
        </w:rPr>
        <w:t xml:space="preserve"> Por auto de </w:t>
      </w:r>
      <w:r w:rsidR="00425ABE" w:rsidRPr="00E020E8">
        <w:rPr>
          <w:rFonts w:cs="Arial"/>
          <w:color w:val="2E74B5" w:themeColor="accent1" w:themeShade="BF"/>
          <w:sz w:val="24"/>
          <w:szCs w:val="24"/>
        </w:rPr>
        <w:t xml:space="preserve">12 doce de noviembre </w:t>
      </w:r>
      <w:r w:rsidR="006E30D6" w:rsidRPr="00E020E8">
        <w:rPr>
          <w:rFonts w:cs="Arial"/>
          <w:color w:val="2E74B5" w:themeColor="accent1" w:themeShade="BF"/>
          <w:sz w:val="24"/>
          <w:szCs w:val="24"/>
        </w:rPr>
        <w:t>de 2018 dos mil dieciocho, la ponente decretó la ampliación del plazo para resolver el presente asunto, ello de conformidad con el Lineamiento Décimo Noveno de los Lineamientos para la Recepción, Sustanciación, Resolución</w:t>
      </w:r>
      <w:r w:rsidR="006E30D6" w:rsidRPr="00E020E8">
        <w:rPr>
          <w:rFonts w:cs="Arial"/>
          <w:color w:val="2E74B5" w:themeColor="accent1" w:themeShade="BF"/>
          <w:spacing w:val="2"/>
          <w:sz w:val="24"/>
          <w:szCs w:val="24"/>
        </w:rPr>
        <w:t xml:space="preserve"> y Cumplimiento de los Recursos de Revisión promovidos ante la CEGAIP, emitidos en la Sesión de Pleno Ordinaria de Consejo celebrada el 07 siete de noviembre de 2017 dos mil diecisiete, y publicados en el Periódico Oficial del Gobierno del Estado el 15 de febrero de 2018 dos mil dieciocho</w:t>
      </w:r>
      <w:r w:rsidR="006E30D6" w:rsidRPr="00E020E8">
        <w:rPr>
          <w:rFonts w:cs="Arial"/>
          <w:color w:val="2E74B5" w:themeColor="accent1" w:themeShade="BF"/>
          <w:sz w:val="24"/>
          <w:szCs w:val="24"/>
          <w:lang w:val="es-ES"/>
        </w:rPr>
        <w:t>.</w:t>
      </w:r>
    </w:p>
    <w:p w:rsidR="006E30D6" w:rsidRPr="00E020E8" w:rsidRDefault="006E30D6" w:rsidP="00E020E8">
      <w:pPr>
        <w:pStyle w:val="corte4fondo"/>
        <w:spacing w:line="276" w:lineRule="auto"/>
        <w:rPr>
          <w:rFonts w:cs="Arial"/>
          <w:color w:val="2E74B5" w:themeColor="accent1" w:themeShade="BF"/>
          <w:sz w:val="24"/>
          <w:szCs w:val="24"/>
        </w:rPr>
      </w:pPr>
    </w:p>
    <w:p w:rsidR="006E30D6" w:rsidRPr="00E020E8" w:rsidRDefault="006E30D6" w:rsidP="00E020E8">
      <w:pPr>
        <w:pStyle w:val="corte4fondo"/>
        <w:spacing w:line="276" w:lineRule="auto"/>
        <w:rPr>
          <w:rFonts w:cs="Arial"/>
          <w:color w:val="2E74B5" w:themeColor="accent1" w:themeShade="BF"/>
          <w:sz w:val="24"/>
          <w:szCs w:val="24"/>
        </w:rPr>
      </w:pPr>
      <w:r w:rsidRPr="00E020E8">
        <w:rPr>
          <w:rFonts w:cs="Arial"/>
          <w:color w:val="2E74B5" w:themeColor="accent1" w:themeShade="BF"/>
          <w:sz w:val="24"/>
          <w:szCs w:val="24"/>
        </w:rPr>
        <w:t>Para concluir, la ponente declaró cerrado el periodo de instrucción y procedió a elaborar el proyecto de resolución respectivo.</w:t>
      </w:r>
    </w:p>
    <w:p w:rsidR="006E30D6" w:rsidRPr="00E020E8" w:rsidRDefault="006E30D6" w:rsidP="00E020E8">
      <w:pPr>
        <w:spacing w:after="0"/>
        <w:ind w:firstLine="709"/>
        <w:jc w:val="both"/>
        <w:rPr>
          <w:rFonts w:ascii="Arial" w:eastAsia="Times New Roman" w:hAnsi="Arial" w:cs="Arial"/>
          <w:color w:val="2E74B5" w:themeColor="accent1" w:themeShade="BF"/>
          <w:sz w:val="24"/>
          <w:szCs w:val="24"/>
          <w:lang w:eastAsia="es-MX"/>
        </w:rPr>
      </w:pPr>
    </w:p>
    <w:p w:rsidR="006E30D6" w:rsidRPr="00E020E8" w:rsidRDefault="006E30D6" w:rsidP="00E020E8">
      <w:pPr>
        <w:pStyle w:val="corte4fondo"/>
        <w:spacing w:line="276" w:lineRule="auto"/>
        <w:jc w:val="center"/>
        <w:rPr>
          <w:rFonts w:cs="Arial"/>
          <w:b/>
          <w:color w:val="2E74B5" w:themeColor="accent1" w:themeShade="BF"/>
          <w:sz w:val="24"/>
          <w:szCs w:val="24"/>
        </w:rPr>
      </w:pPr>
      <w:r w:rsidRPr="00E020E8">
        <w:rPr>
          <w:rFonts w:cs="Arial"/>
          <w:b/>
          <w:color w:val="2E74B5" w:themeColor="accent1" w:themeShade="BF"/>
          <w:sz w:val="24"/>
          <w:szCs w:val="24"/>
        </w:rPr>
        <w:t>CONSIDERANDO</w:t>
      </w:r>
    </w:p>
    <w:p w:rsidR="006E30D6" w:rsidRPr="00E020E8" w:rsidRDefault="006E30D6" w:rsidP="00E020E8">
      <w:pPr>
        <w:pStyle w:val="corte4fondo"/>
        <w:spacing w:line="276" w:lineRule="auto"/>
        <w:jc w:val="center"/>
        <w:rPr>
          <w:rFonts w:cs="Arial"/>
          <w:b/>
          <w:color w:val="2E74B5" w:themeColor="accent1" w:themeShade="BF"/>
          <w:sz w:val="24"/>
          <w:szCs w:val="24"/>
        </w:rPr>
      </w:pPr>
    </w:p>
    <w:p w:rsidR="006E30D6" w:rsidRPr="00E020E8" w:rsidRDefault="006E30D6" w:rsidP="00E020E8">
      <w:pPr>
        <w:pStyle w:val="corte4fondo"/>
        <w:spacing w:line="276" w:lineRule="auto"/>
        <w:rPr>
          <w:rFonts w:cs="Arial"/>
          <w:color w:val="2E74B5" w:themeColor="accent1" w:themeShade="BF"/>
          <w:sz w:val="24"/>
          <w:szCs w:val="24"/>
        </w:rPr>
      </w:pPr>
      <w:r w:rsidRPr="00E020E8">
        <w:rPr>
          <w:rFonts w:cs="Arial"/>
          <w:b/>
          <w:color w:val="2E74B5" w:themeColor="accent1" w:themeShade="BF"/>
          <w:sz w:val="24"/>
          <w:szCs w:val="24"/>
        </w:rPr>
        <w:t xml:space="preserve">PRIMERO. Competencia. </w:t>
      </w:r>
      <w:r w:rsidRPr="00E020E8">
        <w:rPr>
          <w:rFonts w:cs="Arial"/>
          <w:color w:val="2E74B5" w:themeColor="accent1" w:themeShade="BF"/>
          <w:sz w:val="24"/>
          <w:szCs w:val="24"/>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6E30D6" w:rsidRPr="00E020E8" w:rsidRDefault="006E30D6" w:rsidP="00E020E8">
      <w:pPr>
        <w:pStyle w:val="corte4fondo"/>
        <w:spacing w:line="276" w:lineRule="auto"/>
        <w:rPr>
          <w:rFonts w:cs="Arial"/>
          <w:color w:val="2E74B5" w:themeColor="accent1" w:themeShade="BF"/>
          <w:sz w:val="24"/>
          <w:szCs w:val="24"/>
        </w:rPr>
      </w:pPr>
    </w:p>
    <w:p w:rsidR="006E30D6" w:rsidRPr="00E020E8" w:rsidRDefault="006E30D6" w:rsidP="00E020E8">
      <w:pPr>
        <w:pStyle w:val="corte4fondo"/>
        <w:spacing w:line="276" w:lineRule="auto"/>
        <w:rPr>
          <w:rFonts w:cs="Arial"/>
          <w:color w:val="2E74B5" w:themeColor="accent1" w:themeShade="BF"/>
          <w:sz w:val="24"/>
          <w:szCs w:val="24"/>
        </w:rPr>
      </w:pPr>
      <w:r w:rsidRPr="00E020E8">
        <w:rPr>
          <w:rFonts w:cs="Arial"/>
          <w:b/>
          <w:color w:val="2E74B5" w:themeColor="accent1" w:themeShade="BF"/>
          <w:sz w:val="24"/>
          <w:szCs w:val="24"/>
        </w:rPr>
        <w:t xml:space="preserve">SEGUNDO. Procedencia. </w:t>
      </w:r>
      <w:r w:rsidRPr="00E020E8">
        <w:rPr>
          <w:rFonts w:cs="Arial"/>
          <w:color w:val="2E74B5" w:themeColor="accent1" w:themeShade="BF"/>
          <w:sz w:val="24"/>
          <w:szCs w:val="24"/>
        </w:rPr>
        <w:t xml:space="preserve">El presente recurso de revisión es procedente en términos del artículo 166 de la Ley de Transparencia y Acceso a la Información Pública del Estado ya que la recurrente se inconforma por la respuesta a su solicitud de acceso a la información pública por parte del sujeto obligado. </w:t>
      </w:r>
    </w:p>
    <w:p w:rsidR="006E30D6" w:rsidRPr="00E020E8" w:rsidRDefault="006E30D6" w:rsidP="00E020E8">
      <w:pPr>
        <w:pStyle w:val="corte4fondo"/>
        <w:spacing w:line="276" w:lineRule="auto"/>
        <w:rPr>
          <w:rFonts w:cs="Arial"/>
          <w:color w:val="2E74B5" w:themeColor="accent1" w:themeShade="BF"/>
          <w:sz w:val="24"/>
          <w:szCs w:val="24"/>
        </w:rPr>
      </w:pPr>
    </w:p>
    <w:p w:rsidR="006E30D6" w:rsidRPr="00E020E8" w:rsidRDefault="006E30D6" w:rsidP="00E020E8">
      <w:pPr>
        <w:pStyle w:val="corte4fondo"/>
        <w:spacing w:line="276" w:lineRule="auto"/>
        <w:rPr>
          <w:rFonts w:cs="Arial"/>
          <w:color w:val="2E74B5" w:themeColor="accent1" w:themeShade="BF"/>
          <w:sz w:val="24"/>
          <w:szCs w:val="24"/>
        </w:rPr>
      </w:pPr>
      <w:r w:rsidRPr="00E020E8">
        <w:rPr>
          <w:rFonts w:cs="Arial"/>
          <w:b/>
          <w:color w:val="2E74B5" w:themeColor="accent1" w:themeShade="BF"/>
          <w:sz w:val="24"/>
          <w:szCs w:val="24"/>
        </w:rPr>
        <w:lastRenderedPageBreak/>
        <w:t>TERCERO. Oportunidad del recurso</w:t>
      </w:r>
      <w:r w:rsidRPr="00E020E8">
        <w:rPr>
          <w:rFonts w:cs="Arial"/>
          <w:color w:val="2E74B5" w:themeColor="accent1" w:themeShade="BF"/>
          <w:sz w:val="24"/>
          <w:szCs w:val="24"/>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6E30D6" w:rsidRPr="00E020E8" w:rsidRDefault="006E30D6" w:rsidP="00E020E8">
      <w:pPr>
        <w:pStyle w:val="corte4fondo"/>
        <w:spacing w:line="276" w:lineRule="auto"/>
        <w:rPr>
          <w:rFonts w:cs="Arial"/>
          <w:color w:val="2E74B5" w:themeColor="accent1" w:themeShade="BF"/>
          <w:sz w:val="24"/>
          <w:szCs w:val="24"/>
        </w:rPr>
      </w:pPr>
    </w:p>
    <w:p w:rsidR="006E30D6" w:rsidRPr="00E020E8" w:rsidRDefault="006E30D6" w:rsidP="00E020E8">
      <w:pPr>
        <w:numPr>
          <w:ilvl w:val="0"/>
          <w:numId w:val="3"/>
        </w:numPr>
        <w:spacing w:after="0"/>
        <w:jc w:val="both"/>
        <w:rPr>
          <w:rFonts w:ascii="Arial" w:eastAsia="Times New Roman" w:hAnsi="Arial" w:cs="Arial"/>
          <w:color w:val="2E74B5" w:themeColor="accent1" w:themeShade="BF"/>
          <w:sz w:val="24"/>
          <w:szCs w:val="24"/>
          <w:lang w:eastAsia="es-MX"/>
        </w:rPr>
      </w:pPr>
      <w:r w:rsidRPr="00E020E8">
        <w:rPr>
          <w:rFonts w:ascii="Arial" w:eastAsia="Times New Roman" w:hAnsi="Arial" w:cs="Arial"/>
          <w:color w:val="2E74B5" w:themeColor="accent1" w:themeShade="BF"/>
          <w:sz w:val="24"/>
          <w:szCs w:val="24"/>
          <w:lang w:eastAsia="es-MX"/>
        </w:rPr>
        <w:t xml:space="preserve">El </w:t>
      </w:r>
      <w:r w:rsidR="00425ABE" w:rsidRPr="00E020E8">
        <w:rPr>
          <w:rFonts w:ascii="Arial" w:eastAsia="Times New Roman" w:hAnsi="Arial" w:cs="Arial"/>
          <w:color w:val="2E74B5" w:themeColor="accent1" w:themeShade="BF"/>
          <w:sz w:val="24"/>
          <w:szCs w:val="24"/>
          <w:lang w:eastAsia="es-MX"/>
        </w:rPr>
        <w:t xml:space="preserve">12 doce de septiembre </w:t>
      </w:r>
      <w:r w:rsidRPr="00E020E8">
        <w:rPr>
          <w:rFonts w:ascii="Arial" w:eastAsia="Times New Roman" w:hAnsi="Arial" w:cs="Arial"/>
          <w:color w:val="2E74B5" w:themeColor="accent1" w:themeShade="BF"/>
          <w:sz w:val="24"/>
          <w:szCs w:val="24"/>
          <w:lang w:eastAsia="es-MX"/>
        </w:rPr>
        <w:t>de 2018 dos mil dieciocho el solicitante de la información fue notificado de la respuesta a su solicitud.</w:t>
      </w:r>
    </w:p>
    <w:p w:rsidR="006E30D6" w:rsidRPr="00E020E8" w:rsidRDefault="006E30D6" w:rsidP="00E020E8">
      <w:pPr>
        <w:numPr>
          <w:ilvl w:val="0"/>
          <w:numId w:val="3"/>
        </w:numPr>
        <w:spacing w:after="0"/>
        <w:jc w:val="both"/>
        <w:rPr>
          <w:rFonts w:ascii="Arial" w:eastAsia="Times New Roman" w:hAnsi="Arial" w:cs="Arial"/>
          <w:color w:val="2E74B5" w:themeColor="accent1" w:themeShade="BF"/>
          <w:sz w:val="24"/>
          <w:szCs w:val="24"/>
          <w:lang w:eastAsia="es-MX"/>
        </w:rPr>
      </w:pPr>
      <w:r w:rsidRPr="00E020E8">
        <w:rPr>
          <w:rFonts w:ascii="Arial" w:eastAsia="Times New Roman" w:hAnsi="Arial" w:cs="Arial"/>
          <w:color w:val="2E74B5" w:themeColor="accent1" w:themeShade="BF"/>
          <w:sz w:val="24"/>
          <w:szCs w:val="24"/>
          <w:lang w:eastAsia="es-MX"/>
        </w:rPr>
        <w:t xml:space="preserve">Por lo tanto, el plazo de los quince días hábiles para interponer el recurso de revisión transcurrió del día </w:t>
      </w:r>
      <w:r w:rsidR="00425ABE" w:rsidRPr="00E020E8">
        <w:rPr>
          <w:rFonts w:ascii="Arial" w:eastAsia="Times New Roman" w:hAnsi="Arial" w:cs="Arial"/>
          <w:color w:val="2E74B5" w:themeColor="accent1" w:themeShade="BF"/>
          <w:sz w:val="24"/>
          <w:szCs w:val="24"/>
          <w:lang w:eastAsia="es-MX"/>
        </w:rPr>
        <w:t xml:space="preserve">13 trece </w:t>
      </w:r>
      <w:r w:rsidRPr="00E020E8">
        <w:rPr>
          <w:rFonts w:ascii="Arial" w:eastAsia="Times New Roman" w:hAnsi="Arial" w:cs="Arial"/>
          <w:color w:val="2E74B5" w:themeColor="accent1" w:themeShade="BF"/>
          <w:sz w:val="24"/>
          <w:szCs w:val="24"/>
          <w:lang w:eastAsia="es-MX"/>
        </w:rPr>
        <w:t>de septiembre</w:t>
      </w:r>
      <w:r w:rsidR="00425ABE" w:rsidRPr="00E020E8">
        <w:rPr>
          <w:rFonts w:ascii="Arial" w:eastAsia="Times New Roman" w:hAnsi="Arial" w:cs="Arial"/>
          <w:color w:val="2E74B5" w:themeColor="accent1" w:themeShade="BF"/>
          <w:sz w:val="24"/>
          <w:szCs w:val="24"/>
          <w:lang w:eastAsia="es-MX"/>
        </w:rPr>
        <w:t xml:space="preserve"> al 03 tres de octubre </w:t>
      </w:r>
      <w:r w:rsidRPr="00E020E8">
        <w:rPr>
          <w:rFonts w:ascii="Arial" w:eastAsia="Times New Roman" w:hAnsi="Arial" w:cs="Arial"/>
          <w:color w:val="2E74B5" w:themeColor="accent1" w:themeShade="BF"/>
          <w:sz w:val="24"/>
          <w:szCs w:val="24"/>
          <w:lang w:eastAsia="es-MX"/>
        </w:rPr>
        <w:t>del</w:t>
      </w:r>
      <w:r w:rsidR="000A557D" w:rsidRPr="00E020E8">
        <w:rPr>
          <w:rFonts w:ascii="Arial" w:eastAsia="Times New Roman" w:hAnsi="Arial" w:cs="Arial"/>
          <w:color w:val="2E74B5" w:themeColor="accent1" w:themeShade="BF"/>
          <w:sz w:val="24"/>
          <w:szCs w:val="24"/>
          <w:lang w:eastAsia="es-MX"/>
        </w:rPr>
        <w:t xml:space="preserve"> </w:t>
      </w:r>
      <w:r w:rsidR="00E020E8" w:rsidRPr="00E020E8">
        <w:rPr>
          <w:rFonts w:ascii="Arial" w:eastAsia="Times New Roman" w:hAnsi="Arial" w:cs="Arial"/>
          <w:color w:val="2E74B5" w:themeColor="accent1" w:themeShade="BF"/>
          <w:sz w:val="24"/>
          <w:szCs w:val="24"/>
          <w:lang w:eastAsia="es-MX"/>
        </w:rPr>
        <w:t>referido</w:t>
      </w:r>
      <w:r w:rsidRPr="00E020E8">
        <w:rPr>
          <w:rFonts w:ascii="Arial" w:eastAsia="Times New Roman" w:hAnsi="Arial" w:cs="Arial"/>
          <w:color w:val="2E74B5" w:themeColor="accent1" w:themeShade="BF"/>
          <w:sz w:val="24"/>
          <w:szCs w:val="24"/>
          <w:lang w:eastAsia="es-MX"/>
        </w:rPr>
        <w:t xml:space="preserve"> año. </w:t>
      </w:r>
    </w:p>
    <w:p w:rsidR="006E30D6" w:rsidRPr="00E020E8" w:rsidRDefault="006E30D6" w:rsidP="00E020E8">
      <w:pPr>
        <w:numPr>
          <w:ilvl w:val="0"/>
          <w:numId w:val="3"/>
        </w:numPr>
        <w:spacing w:after="0"/>
        <w:jc w:val="both"/>
        <w:rPr>
          <w:rFonts w:ascii="Arial" w:hAnsi="Arial" w:cs="Arial"/>
          <w:color w:val="2E74B5" w:themeColor="accent1" w:themeShade="BF"/>
          <w:sz w:val="24"/>
          <w:szCs w:val="24"/>
        </w:rPr>
      </w:pPr>
      <w:r w:rsidRPr="00E020E8">
        <w:rPr>
          <w:rFonts w:ascii="Arial" w:eastAsia="Times New Roman" w:hAnsi="Arial" w:cs="Arial"/>
          <w:color w:val="2E74B5" w:themeColor="accent1" w:themeShade="BF"/>
          <w:sz w:val="24"/>
          <w:szCs w:val="24"/>
          <w:lang w:eastAsia="es-MX"/>
        </w:rPr>
        <w:t xml:space="preserve">Se deben de descontar de dicho cómputo por ser inhábiles los días </w:t>
      </w:r>
      <w:r w:rsidR="00425ABE" w:rsidRPr="00E020E8">
        <w:rPr>
          <w:rFonts w:ascii="Arial" w:eastAsia="Times New Roman" w:hAnsi="Arial" w:cs="Arial"/>
          <w:color w:val="2E74B5" w:themeColor="accent1" w:themeShade="BF"/>
          <w:sz w:val="24"/>
          <w:szCs w:val="24"/>
          <w:lang w:eastAsia="es-MX"/>
        </w:rPr>
        <w:t xml:space="preserve">15 quince, 16 dieciséis, 22 veintidós, 23 veintitrés, 29 veintinueve y 30 treinta </w:t>
      </w:r>
      <w:r w:rsidRPr="00E020E8">
        <w:rPr>
          <w:rFonts w:ascii="Arial" w:eastAsia="Times New Roman" w:hAnsi="Arial" w:cs="Arial"/>
          <w:color w:val="2E74B5" w:themeColor="accent1" w:themeShade="BF"/>
          <w:sz w:val="24"/>
          <w:szCs w:val="24"/>
          <w:lang w:eastAsia="es-MX"/>
        </w:rPr>
        <w:t xml:space="preserve">de septiembre de 2018 dos mil dieciocho.  </w:t>
      </w:r>
    </w:p>
    <w:p w:rsidR="006E30D6" w:rsidRPr="00E020E8" w:rsidRDefault="006E30D6" w:rsidP="00E020E8">
      <w:pPr>
        <w:numPr>
          <w:ilvl w:val="0"/>
          <w:numId w:val="3"/>
        </w:numPr>
        <w:spacing w:after="0"/>
        <w:jc w:val="both"/>
        <w:rPr>
          <w:rFonts w:ascii="Arial" w:eastAsia="Times New Roman" w:hAnsi="Arial" w:cs="Arial"/>
          <w:color w:val="2E74B5" w:themeColor="accent1" w:themeShade="BF"/>
          <w:sz w:val="24"/>
          <w:szCs w:val="24"/>
          <w:lang w:eastAsia="es-MX"/>
        </w:rPr>
      </w:pPr>
      <w:r w:rsidRPr="00E020E8">
        <w:rPr>
          <w:rFonts w:ascii="Arial" w:eastAsia="Times New Roman" w:hAnsi="Arial" w:cs="Arial"/>
          <w:color w:val="2E74B5" w:themeColor="accent1" w:themeShade="BF"/>
          <w:sz w:val="24"/>
          <w:szCs w:val="24"/>
          <w:lang w:eastAsia="es-MX"/>
        </w:rPr>
        <w:t xml:space="preserve">Consecuentemente si el </w:t>
      </w:r>
      <w:r w:rsidR="00425ABE" w:rsidRPr="00E020E8">
        <w:rPr>
          <w:rFonts w:ascii="Arial" w:eastAsia="Times New Roman" w:hAnsi="Arial" w:cs="Arial"/>
          <w:color w:val="2E74B5" w:themeColor="accent1" w:themeShade="BF"/>
          <w:sz w:val="24"/>
          <w:szCs w:val="24"/>
          <w:lang w:eastAsia="es-MX"/>
        </w:rPr>
        <w:t xml:space="preserve">24 veinticuatro de septiembre </w:t>
      </w:r>
      <w:r w:rsidR="00E020E8" w:rsidRPr="00E020E8">
        <w:rPr>
          <w:rFonts w:ascii="Arial" w:eastAsia="Times New Roman" w:hAnsi="Arial" w:cs="Arial"/>
          <w:color w:val="2E74B5" w:themeColor="accent1" w:themeShade="BF"/>
          <w:sz w:val="24"/>
          <w:szCs w:val="24"/>
          <w:lang w:eastAsia="es-MX"/>
        </w:rPr>
        <w:t xml:space="preserve">del mismo </w:t>
      </w:r>
      <w:r w:rsidRPr="00E020E8">
        <w:rPr>
          <w:rFonts w:ascii="Arial" w:eastAsia="Times New Roman" w:hAnsi="Arial" w:cs="Arial"/>
          <w:color w:val="2E74B5" w:themeColor="accent1" w:themeShade="BF"/>
          <w:sz w:val="24"/>
          <w:szCs w:val="24"/>
          <w:lang w:eastAsia="es-MX"/>
        </w:rPr>
        <w:t>año el recurrente interpuso el citado medio de impugnación ante esta Comisión de Transparencia</w:t>
      </w:r>
      <w:r w:rsidRPr="00E020E8">
        <w:rPr>
          <w:rFonts w:ascii="Arial" w:hAnsi="Arial" w:cs="Arial"/>
          <w:color w:val="2E74B5" w:themeColor="accent1" w:themeShade="BF"/>
          <w:sz w:val="24"/>
          <w:szCs w:val="24"/>
        </w:rPr>
        <w:t>,</w:t>
      </w:r>
      <w:r w:rsidRPr="00E020E8">
        <w:rPr>
          <w:rFonts w:ascii="Arial" w:eastAsia="Times New Roman" w:hAnsi="Arial" w:cs="Arial"/>
          <w:color w:val="2E74B5" w:themeColor="accent1" w:themeShade="BF"/>
          <w:sz w:val="24"/>
          <w:szCs w:val="24"/>
          <w:lang w:eastAsia="es-MX"/>
        </w:rPr>
        <w:t xml:space="preserve"> resulta claro que es oportuna su presentación.  </w:t>
      </w:r>
    </w:p>
    <w:p w:rsidR="006E30D6" w:rsidRPr="00E020E8" w:rsidRDefault="006E30D6" w:rsidP="00E020E8">
      <w:pPr>
        <w:spacing w:after="0"/>
        <w:ind w:left="1429"/>
        <w:jc w:val="both"/>
        <w:rPr>
          <w:rFonts w:ascii="Arial" w:eastAsia="Times New Roman" w:hAnsi="Arial" w:cs="Arial"/>
          <w:color w:val="2E74B5" w:themeColor="accent1" w:themeShade="BF"/>
          <w:sz w:val="24"/>
          <w:szCs w:val="24"/>
          <w:lang w:eastAsia="es-MX"/>
        </w:rPr>
      </w:pPr>
    </w:p>
    <w:p w:rsidR="006E30D6" w:rsidRPr="00E020E8" w:rsidRDefault="006E30D6" w:rsidP="00E020E8">
      <w:pPr>
        <w:pStyle w:val="corte4fondo"/>
        <w:spacing w:line="276" w:lineRule="auto"/>
        <w:rPr>
          <w:rFonts w:cs="Arial"/>
          <w:color w:val="2E74B5" w:themeColor="accent1" w:themeShade="BF"/>
          <w:sz w:val="24"/>
          <w:szCs w:val="24"/>
        </w:rPr>
      </w:pPr>
      <w:r w:rsidRPr="00E020E8">
        <w:rPr>
          <w:rFonts w:cs="Arial"/>
          <w:b/>
          <w:color w:val="2E74B5" w:themeColor="accent1" w:themeShade="BF"/>
          <w:sz w:val="24"/>
          <w:szCs w:val="24"/>
        </w:rPr>
        <w:t>CUARTO. Certeza del acto reclamado</w:t>
      </w:r>
      <w:r w:rsidRPr="00E020E8">
        <w:rPr>
          <w:rFonts w:cs="Arial"/>
          <w:color w:val="2E74B5" w:themeColor="accent1" w:themeShade="BF"/>
          <w:sz w:val="24"/>
          <w:szCs w:val="24"/>
        </w:rPr>
        <w:t>. Son ciertos los actos reclamados atribuidos a los sujetos obligados en virtud de que el JEFE DE LA UNIDAD DE TRANSPARENCIA del sujeto obligado así lo reconoció en su informe.</w:t>
      </w:r>
    </w:p>
    <w:p w:rsidR="006E30D6" w:rsidRPr="00E020E8" w:rsidRDefault="006E30D6" w:rsidP="00E020E8">
      <w:pPr>
        <w:pStyle w:val="corte4fondo"/>
        <w:spacing w:line="276" w:lineRule="auto"/>
        <w:ind w:firstLine="0"/>
        <w:rPr>
          <w:rFonts w:cs="Arial"/>
          <w:b/>
          <w:color w:val="2E74B5" w:themeColor="accent1" w:themeShade="BF"/>
          <w:sz w:val="24"/>
          <w:szCs w:val="24"/>
        </w:rPr>
      </w:pPr>
    </w:p>
    <w:p w:rsidR="006E30D6" w:rsidRPr="00E020E8" w:rsidRDefault="006E30D6" w:rsidP="00E020E8">
      <w:pPr>
        <w:pStyle w:val="corte4fondo"/>
        <w:spacing w:line="276" w:lineRule="auto"/>
        <w:ind w:firstLine="708"/>
        <w:rPr>
          <w:rFonts w:cs="Arial"/>
          <w:color w:val="2E74B5" w:themeColor="accent1" w:themeShade="BF"/>
          <w:sz w:val="24"/>
          <w:szCs w:val="24"/>
        </w:rPr>
      </w:pPr>
      <w:r w:rsidRPr="00E020E8">
        <w:rPr>
          <w:rFonts w:cs="Arial"/>
          <w:b/>
          <w:color w:val="2E74B5" w:themeColor="accent1" w:themeShade="BF"/>
          <w:sz w:val="24"/>
          <w:szCs w:val="24"/>
        </w:rPr>
        <w:t>QUINTO</w:t>
      </w:r>
      <w:r w:rsidRPr="00E020E8">
        <w:rPr>
          <w:rFonts w:cs="Arial"/>
          <w:color w:val="2E74B5" w:themeColor="accent1" w:themeShade="BF"/>
          <w:sz w:val="24"/>
          <w:szCs w:val="24"/>
        </w:rPr>
        <w:t xml:space="preserve">. </w:t>
      </w:r>
      <w:r w:rsidRPr="00E020E8">
        <w:rPr>
          <w:rFonts w:cs="Arial"/>
          <w:b/>
          <w:color w:val="2E74B5" w:themeColor="accent1" w:themeShade="BF"/>
          <w:sz w:val="24"/>
          <w:szCs w:val="24"/>
        </w:rPr>
        <w:t>Sobreseimiento</w:t>
      </w:r>
      <w:r w:rsidRPr="00E020E8">
        <w:rPr>
          <w:rFonts w:cs="Arial"/>
          <w:color w:val="2E74B5" w:themeColor="accent1" w:themeShade="BF"/>
          <w:sz w:val="24"/>
          <w:szCs w:val="24"/>
        </w:rPr>
        <w:t>. Dicha figura del sobreseimiento es la resolución por parte de esta Comisión Estatal de Garantía de Acceso a la Información Pública de carácter definitivo porque pone fin al procedimiento sin resolver las cuestiones de fondo, es decir, porque se haya actualizado alguno de los supuestos que establece el artículo 180 de la Ley de Transparencia y Acceso a la Información Pública del Estado.</w:t>
      </w:r>
    </w:p>
    <w:p w:rsidR="006E30D6" w:rsidRPr="00E020E8" w:rsidRDefault="006E30D6" w:rsidP="00E020E8">
      <w:pPr>
        <w:pStyle w:val="corte4fondo"/>
        <w:spacing w:line="276" w:lineRule="auto"/>
        <w:ind w:firstLine="0"/>
        <w:rPr>
          <w:rFonts w:cs="Arial"/>
          <w:color w:val="2E74B5" w:themeColor="accent1" w:themeShade="BF"/>
          <w:sz w:val="24"/>
          <w:szCs w:val="24"/>
        </w:rPr>
      </w:pPr>
    </w:p>
    <w:p w:rsidR="006E30D6" w:rsidRPr="00E020E8" w:rsidRDefault="006E30D6" w:rsidP="00E020E8">
      <w:pPr>
        <w:pStyle w:val="corte4fondo"/>
        <w:spacing w:line="276" w:lineRule="auto"/>
        <w:ind w:firstLine="0"/>
        <w:rPr>
          <w:rFonts w:cs="Arial"/>
          <w:color w:val="2E74B5" w:themeColor="accent1" w:themeShade="BF"/>
          <w:sz w:val="24"/>
          <w:szCs w:val="24"/>
        </w:rPr>
      </w:pPr>
      <w:r w:rsidRPr="00E020E8">
        <w:rPr>
          <w:rFonts w:cs="Arial"/>
          <w:color w:val="2E74B5" w:themeColor="accent1" w:themeShade="BF"/>
          <w:sz w:val="24"/>
          <w:szCs w:val="24"/>
        </w:rPr>
        <w:tab/>
        <w:t>En la especie, el sujeto obligado cuando rindió su informe ante esta Comisión de Transparencia</w:t>
      </w:r>
      <w:r w:rsidR="00233104" w:rsidRPr="00E020E8">
        <w:rPr>
          <w:rFonts w:cs="Arial"/>
          <w:color w:val="2E74B5" w:themeColor="accent1" w:themeShade="BF"/>
          <w:sz w:val="24"/>
          <w:szCs w:val="24"/>
        </w:rPr>
        <w:t xml:space="preserve"> solicitó se sobreseyera el presente recurso </w:t>
      </w:r>
      <w:r w:rsidR="00A970DF" w:rsidRPr="00E020E8">
        <w:rPr>
          <w:rFonts w:cs="Arial"/>
          <w:color w:val="2E74B5" w:themeColor="accent1" w:themeShade="BF"/>
          <w:sz w:val="24"/>
          <w:szCs w:val="24"/>
        </w:rPr>
        <w:t>de revisión</w:t>
      </w:r>
      <w:r w:rsidRPr="00E020E8">
        <w:rPr>
          <w:rFonts w:cs="Arial"/>
          <w:color w:val="2E74B5" w:themeColor="accent1" w:themeShade="BF"/>
          <w:sz w:val="24"/>
          <w:szCs w:val="24"/>
        </w:rPr>
        <w:t>.</w:t>
      </w:r>
    </w:p>
    <w:p w:rsidR="006E30D6" w:rsidRPr="00E020E8" w:rsidRDefault="006E30D6" w:rsidP="00E020E8">
      <w:pPr>
        <w:pStyle w:val="corte4fondo"/>
        <w:spacing w:line="276" w:lineRule="auto"/>
        <w:ind w:firstLine="0"/>
        <w:rPr>
          <w:rFonts w:cs="Arial"/>
          <w:color w:val="2E74B5" w:themeColor="accent1" w:themeShade="BF"/>
          <w:sz w:val="24"/>
          <w:szCs w:val="24"/>
        </w:rPr>
      </w:pPr>
    </w:p>
    <w:p w:rsidR="006E30D6" w:rsidRPr="00E020E8" w:rsidRDefault="006E30D6" w:rsidP="00E020E8">
      <w:pPr>
        <w:pStyle w:val="corte4fondo"/>
        <w:spacing w:line="276" w:lineRule="auto"/>
        <w:ind w:firstLine="0"/>
        <w:rPr>
          <w:rFonts w:cs="Arial"/>
          <w:color w:val="2E74B5" w:themeColor="accent1" w:themeShade="BF"/>
          <w:sz w:val="24"/>
          <w:szCs w:val="24"/>
        </w:rPr>
      </w:pPr>
      <w:r w:rsidRPr="00E020E8">
        <w:rPr>
          <w:rFonts w:cs="Arial"/>
          <w:color w:val="2E74B5" w:themeColor="accent1" w:themeShade="BF"/>
          <w:sz w:val="24"/>
          <w:szCs w:val="24"/>
        </w:rPr>
        <w:tab/>
        <w:t xml:space="preserve">Ahora, está Comisión de Transparencia analiza la procedencia del sobreseimiento, en virtud de que de acuerdo con la Ley de Transparencia esta figura es una cuestión de orden público que impide, como se ha dicho, entrar al fondo del asunto. </w:t>
      </w:r>
    </w:p>
    <w:p w:rsidR="000B5D95" w:rsidRDefault="000B5D95" w:rsidP="00E020E8">
      <w:pPr>
        <w:pStyle w:val="corte4fondo"/>
        <w:spacing w:line="276" w:lineRule="auto"/>
        <w:ind w:firstLine="0"/>
        <w:rPr>
          <w:rFonts w:cs="Arial"/>
          <w:color w:val="2E74B5" w:themeColor="accent1" w:themeShade="BF"/>
          <w:sz w:val="24"/>
          <w:szCs w:val="24"/>
        </w:rPr>
      </w:pPr>
    </w:p>
    <w:p w:rsidR="006E30D6" w:rsidRPr="00E020E8" w:rsidRDefault="006E30D6" w:rsidP="00E020E8">
      <w:pPr>
        <w:pStyle w:val="corte4fondo"/>
        <w:spacing w:line="276" w:lineRule="auto"/>
        <w:ind w:firstLine="0"/>
        <w:rPr>
          <w:rFonts w:cs="Arial"/>
          <w:color w:val="2E74B5" w:themeColor="accent1" w:themeShade="BF"/>
          <w:sz w:val="24"/>
          <w:szCs w:val="24"/>
        </w:rPr>
      </w:pPr>
      <w:r w:rsidRPr="00E020E8">
        <w:rPr>
          <w:rFonts w:cs="Arial"/>
          <w:color w:val="2E74B5" w:themeColor="accent1" w:themeShade="BF"/>
          <w:sz w:val="24"/>
          <w:szCs w:val="24"/>
        </w:rPr>
        <w:tab/>
      </w:r>
      <w:r w:rsidRPr="00E020E8">
        <w:rPr>
          <w:rFonts w:cs="Arial"/>
          <w:b/>
          <w:color w:val="2E74B5" w:themeColor="accent1" w:themeShade="BF"/>
          <w:sz w:val="24"/>
          <w:szCs w:val="24"/>
        </w:rPr>
        <w:t>5.1. Objetivo de la Ley de Transparencia</w:t>
      </w:r>
      <w:r w:rsidRPr="00E020E8">
        <w:rPr>
          <w:rFonts w:cs="Arial"/>
          <w:color w:val="2E74B5" w:themeColor="accent1" w:themeShade="BF"/>
          <w:sz w:val="24"/>
          <w:szCs w:val="24"/>
        </w:rPr>
        <w:t>.</w:t>
      </w:r>
    </w:p>
    <w:p w:rsidR="006E30D6" w:rsidRPr="00E020E8" w:rsidRDefault="006E30D6" w:rsidP="00E020E8">
      <w:pPr>
        <w:pStyle w:val="corte4fondo"/>
        <w:spacing w:line="276" w:lineRule="auto"/>
        <w:ind w:firstLine="0"/>
        <w:rPr>
          <w:rFonts w:cs="Arial"/>
          <w:color w:val="2E74B5" w:themeColor="accent1" w:themeShade="BF"/>
          <w:sz w:val="24"/>
          <w:szCs w:val="24"/>
        </w:rPr>
      </w:pPr>
    </w:p>
    <w:p w:rsidR="006E30D6" w:rsidRPr="00E020E8" w:rsidRDefault="006E30D6" w:rsidP="00E020E8">
      <w:pPr>
        <w:pStyle w:val="NormalWeb"/>
        <w:spacing w:before="0" w:beforeAutospacing="0" w:after="0" w:afterAutospacing="0" w:line="276" w:lineRule="auto"/>
        <w:jc w:val="both"/>
        <w:rPr>
          <w:rFonts w:ascii="Arial" w:eastAsia="Arial Unicode MS" w:hAnsi="Arial" w:cs="Arial"/>
          <w:color w:val="2E74B5" w:themeColor="accent1" w:themeShade="BF"/>
        </w:rPr>
      </w:pPr>
      <w:r w:rsidRPr="00E020E8">
        <w:rPr>
          <w:rFonts w:ascii="Arial" w:hAnsi="Arial" w:cs="Arial"/>
          <w:color w:val="2E74B5" w:themeColor="accent1" w:themeShade="BF"/>
          <w:lang w:val="es-MX" w:eastAsia="es-MX"/>
        </w:rPr>
        <w:tab/>
      </w:r>
      <w:r w:rsidRPr="00E020E8">
        <w:rPr>
          <w:rFonts w:ascii="Arial" w:eastAsia="Arial Unicode MS" w:hAnsi="Arial" w:cs="Arial"/>
          <w:color w:val="2E74B5" w:themeColor="accent1" w:themeShade="BF"/>
        </w:rPr>
        <w:t>Ahora, es necesario precisar que</w:t>
      </w:r>
      <w:r w:rsidRPr="00E020E8">
        <w:rPr>
          <w:rFonts w:ascii="Arial" w:eastAsia="Arial Unicode MS" w:hAnsi="Arial" w:cs="Arial"/>
          <w:color w:val="2E74B5" w:themeColor="accent1" w:themeShade="BF"/>
        </w:rPr>
        <w:tab/>
        <w:t xml:space="preserve"> de conformidad con el segundo párrafo, del artículo 1°</w:t>
      </w:r>
      <w:r w:rsidRPr="00E020E8">
        <w:rPr>
          <w:rStyle w:val="Refdenotaalpie"/>
          <w:rFonts w:ascii="Arial" w:eastAsia="Arial Unicode MS" w:hAnsi="Arial" w:cs="Arial"/>
          <w:color w:val="2E74B5" w:themeColor="accent1" w:themeShade="BF"/>
        </w:rPr>
        <w:footnoteReference w:id="4"/>
      </w:r>
      <w:r w:rsidRPr="00E020E8">
        <w:rPr>
          <w:rFonts w:ascii="Arial" w:eastAsia="Arial Unicode MS" w:hAnsi="Arial" w:cs="Arial"/>
          <w:color w:val="2E74B5" w:themeColor="accent1" w:themeShade="BF"/>
        </w:rPr>
        <w:t xml:space="preserve"> de la Ley de Transparencia, uno de los objetivos de ésta es garantizar el ejercicio del derecho de acceso a la información pública. </w:t>
      </w:r>
    </w:p>
    <w:p w:rsidR="006E30D6" w:rsidRPr="00E020E8" w:rsidRDefault="006E30D6" w:rsidP="00E020E8">
      <w:pPr>
        <w:pStyle w:val="NormalWeb"/>
        <w:spacing w:before="0" w:beforeAutospacing="0" w:after="0" w:afterAutospacing="0" w:line="276" w:lineRule="auto"/>
        <w:jc w:val="both"/>
        <w:rPr>
          <w:rFonts w:ascii="Arial" w:hAnsi="Arial" w:cs="Arial"/>
          <w:color w:val="2E74B5" w:themeColor="accent1" w:themeShade="BF"/>
        </w:rPr>
      </w:pPr>
      <w:r w:rsidRPr="00E020E8">
        <w:rPr>
          <w:rFonts w:ascii="Arial" w:eastAsia="Arial Unicode MS" w:hAnsi="Arial" w:cs="Arial"/>
          <w:color w:val="2E74B5" w:themeColor="accent1" w:themeShade="BF"/>
        </w:rPr>
        <w:tab/>
      </w:r>
    </w:p>
    <w:p w:rsidR="006E30D6" w:rsidRPr="00E020E8" w:rsidRDefault="006E30D6" w:rsidP="00E020E8">
      <w:pPr>
        <w:pStyle w:val="NormalWeb"/>
        <w:tabs>
          <w:tab w:val="left" w:pos="0"/>
        </w:tabs>
        <w:spacing w:before="0" w:beforeAutospacing="0" w:after="0" w:afterAutospacing="0" w:line="276" w:lineRule="auto"/>
        <w:ind w:left="708"/>
        <w:jc w:val="both"/>
        <w:rPr>
          <w:rFonts w:ascii="Arial" w:eastAsia="Arial Unicode MS" w:hAnsi="Arial" w:cs="Arial"/>
          <w:b/>
          <w:color w:val="2E74B5" w:themeColor="accent1" w:themeShade="BF"/>
        </w:rPr>
      </w:pPr>
      <w:r w:rsidRPr="00E020E8">
        <w:rPr>
          <w:rFonts w:ascii="Arial" w:eastAsia="Arial Unicode MS" w:hAnsi="Arial" w:cs="Arial"/>
          <w:b/>
          <w:color w:val="2E74B5" w:themeColor="accent1" w:themeShade="BF"/>
        </w:rPr>
        <w:lastRenderedPageBreak/>
        <w:t>5</w:t>
      </w:r>
      <w:r w:rsidR="009A21BA" w:rsidRPr="00E020E8">
        <w:rPr>
          <w:rFonts w:ascii="Arial" w:eastAsia="Arial Unicode MS" w:hAnsi="Arial" w:cs="Arial"/>
          <w:b/>
          <w:color w:val="2E74B5" w:themeColor="accent1" w:themeShade="BF"/>
        </w:rPr>
        <w:t>.1.1</w:t>
      </w:r>
      <w:r w:rsidRPr="00E020E8">
        <w:rPr>
          <w:rFonts w:ascii="Arial" w:eastAsia="Arial Unicode MS" w:hAnsi="Arial" w:cs="Arial"/>
          <w:b/>
          <w:color w:val="2E74B5" w:themeColor="accent1" w:themeShade="BF"/>
        </w:rPr>
        <w:t>. Notificación de la respuesta a la solicitud de acceso a la información pública.</w:t>
      </w:r>
    </w:p>
    <w:p w:rsidR="006E30D6" w:rsidRPr="00E020E8" w:rsidRDefault="006E30D6" w:rsidP="00E020E8">
      <w:pPr>
        <w:pStyle w:val="NormalWeb"/>
        <w:tabs>
          <w:tab w:val="left" w:pos="0"/>
        </w:tabs>
        <w:spacing w:before="0" w:beforeAutospacing="0" w:after="0" w:afterAutospacing="0" w:line="276" w:lineRule="auto"/>
        <w:ind w:left="708"/>
        <w:jc w:val="both"/>
        <w:rPr>
          <w:rFonts w:ascii="Arial" w:eastAsia="Arial Unicode MS" w:hAnsi="Arial" w:cs="Arial"/>
          <w:b/>
          <w:color w:val="2E74B5" w:themeColor="accent1" w:themeShade="BF"/>
        </w:rPr>
      </w:pPr>
    </w:p>
    <w:p w:rsidR="00B30688" w:rsidRPr="00E020E8" w:rsidRDefault="006E30D6" w:rsidP="00E020E8">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E020E8">
        <w:rPr>
          <w:rFonts w:ascii="Arial" w:eastAsia="Arial Unicode MS" w:hAnsi="Arial" w:cs="Arial"/>
          <w:color w:val="2E74B5" w:themeColor="accent1" w:themeShade="BF"/>
        </w:rPr>
        <w:tab/>
      </w:r>
      <w:r w:rsidR="00B30688" w:rsidRPr="00E020E8">
        <w:rPr>
          <w:rFonts w:ascii="Arial" w:eastAsia="Arial Unicode MS" w:hAnsi="Arial" w:cs="Arial"/>
          <w:color w:val="2E74B5" w:themeColor="accent1" w:themeShade="BF"/>
        </w:rPr>
        <w:t>Para que el sobreseimiento se pueda actualizar, es necesario que el sujeto obligado acredite que efectivamente el ahora recurrente ya se allegó de esa respuesta.</w:t>
      </w:r>
    </w:p>
    <w:p w:rsidR="00B30688" w:rsidRPr="00E020E8" w:rsidRDefault="00B30688" w:rsidP="00E020E8">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B30688" w:rsidRPr="00E020E8" w:rsidRDefault="00B30688" w:rsidP="00E020E8">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E020E8">
        <w:rPr>
          <w:rFonts w:ascii="Arial" w:eastAsia="Arial Unicode MS" w:hAnsi="Arial" w:cs="Arial"/>
          <w:color w:val="2E74B5" w:themeColor="accent1" w:themeShade="BF"/>
        </w:rPr>
        <w:tab/>
        <w:t xml:space="preserve">Ahora, esta Comisión de Transparencia al analizar las constancias que obran en autos y propiamente las que la autoridad remite vía informe o escrito de manifestaciones no se advierte constancia de notificación que acredite que hizo de conocimiento del peticionario la respuesta correcta, es decir la modificación de la respuesta. </w:t>
      </w:r>
    </w:p>
    <w:p w:rsidR="00B30688" w:rsidRPr="00E020E8" w:rsidRDefault="00B30688" w:rsidP="00E020E8">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E020E8">
        <w:rPr>
          <w:rFonts w:ascii="Arial" w:eastAsia="Arial Unicode MS" w:hAnsi="Arial" w:cs="Arial"/>
          <w:color w:val="2E74B5" w:themeColor="accent1" w:themeShade="BF"/>
        </w:rPr>
        <w:t xml:space="preserve"> </w:t>
      </w:r>
    </w:p>
    <w:p w:rsidR="00B30688" w:rsidRPr="00E020E8" w:rsidRDefault="00B30688" w:rsidP="00E020E8">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E020E8">
        <w:rPr>
          <w:rFonts w:ascii="Arial" w:eastAsia="Arial Unicode MS" w:hAnsi="Arial" w:cs="Arial"/>
          <w:color w:val="2E74B5" w:themeColor="accent1" w:themeShade="BF"/>
        </w:rPr>
        <w:tab/>
        <w:t>Así, también para que exista el sobreseimiento, se debe de acreditar, además el contenido de la respuesta, como se explica en el apartado siguiente</w:t>
      </w:r>
    </w:p>
    <w:p w:rsidR="00B30688" w:rsidRPr="00E020E8" w:rsidRDefault="00B30688" w:rsidP="00E020E8">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6E30D6" w:rsidRPr="00E020E8" w:rsidRDefault="006E30D6" w:rsidP="00E020E8">
      <w:pPr>
        <w:pStyle w:val="NormalWeb"/>
        <w:tabs>
          <w:tab w:val="left" w:pos="0"/>
        </w:tabs>
        <w:spacing w:before="0" w:beforeAutospacing="0" w:after="0" w:afterAutospacing="0" w:line="276" w:lineRule="auto"/>
        <w:ind w:left="708"/>
        <w:jc w:val="both"/>
        <w:rPr>
          <w:rFonts w:ascii="Arial" w:eastAsia="Arial Unicode MS" w:hAnsi="Arial" w:cs="Arial"/>
          <w:b/>
          <w:color w:val="2E74B5" w:themeColor="accent1" w:themeShade="BF"/>
        </w:rPr>
      </w:pPr>
      <w:r w:rsidRPr="00E020E8">
        <w:rPr>
          <w:rFonts w:ascii="Arial" w:eastAsia="Arial Unicode MS" w:hAnsi="Arial" w:cs="Arial"/>
          <w:b/>
          <w:color w:val="2E74B5" w:themeColor="accent1" w:themeShade="BF"/>
        </w:rPr>
        <w:t>5.</w:t>
      </w:r>
      <w:r w:rsidR="009A21BA" w:rsidRPr="00E020E8">
        <w:rPr>
          <w:rFonts w:ascii="Arial" w:eastAsia="Arial Unicode MS" w:hAnsi="Arial" w:cs="Arial"/>
          <w:b/>
          <w:color w:val="2E74B5" w:themeColor="accent1" w:themeShade="BF"/>
        </w:rPr>
        <w:t>1</w:t>
      </w:r>
      <w:r w:rsidRPr="00E020E8">
        <w:rPr>
          <w:rFonts w:ascii="Arial" w:eastAsia="Arial Unicode MS" w:hAnsi="Arial" w:cs="Arial"/>
          <w:b/>
          <w:color w:val="2E74B5" w:themeColor="accent1" w:themeShade="BF"/>
        </w:rPr>
        <w:t>.</w:t>
      </w:r>
      <w:r w:rsidR="009A21BA" w:rsidRPr="00E020E8">
        <w:rPr>
          <w:rFonts w:ascii="Arial" w:eastAsia="Arial Unicode MS" w:hAnsi="Arial" w:cs="Arial"/>
          <w:b/>
          <w:color w:val="2E74B5" w:themeColor="accent1" w:themeShade="BF"/>
        </w:rPr>
        <w:t>2</w:t>
      </w:r>
      <w:r w:rsidRPr="00E020E8">
        <w:rPr>
          <w:rFonts w:ascii="Arial" w:eastAsia="Arial Unicode MS" w:hAnsi="Arial" w:cs="Arial"/>
          <w:b/>
          <w:color w:val="2E74B5" w:themeColor="accent1" w:themeShade="BF"/>
        </w:rPr>
        <w:t>. Modificación del acto reclamado para que el recurso quede sin materia.</w:t>
      </w:r>
    </w:p>
    <w:p w:rsidR="006E30D6" w:rsidRPr="00E020E8" w:rsidRDefault="006E30D6" w:rsidP="00E020E8">
      <w:pPr>
        <w:pStyle w:val="NormalWeb"/>
        <w:tabs>
          <w:tab w:val="left" w:pos="0"/>
        </w:tabs>
        <w:spacing w:before="0" w:beforeAutospacing="0" w:after="0" w:afterAutospacing="0" w:line="276" w:lineRule="auto"/>
        <w:ind w:left="708"/>
        <w:jc w:val="both"/>
        <w:rPr>
          <w:rFonts w:ascii="Arial" w:eastAsia="Arial Unicode MS" w:hAnsi="Arial" w:cs="Arial"/>
          <w:b/>
          <w:color w:val="2E74B5" w:themeColor="accent1" w:themeShade="BF"/>
        </w:rPr>
      </w:pPr>
    </w:p>
    <w:p w:rsidR="006E30D6" w:rsidRPr="00E020E8" w:rsidRDefault="006E30D6" w:rsidP="00E020E8">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E020E8">
        <w:rPr>
          <w:rFonts w:ascii="Arial" w:eastAsia="Arial Unicode MS" w:hAnsi="Arial" w:cs="Arial"/>
          <w:color w:val="2E74B5" w:themeColor="accent1" w:themeShade="BF"/>
        </w:rPr>
        <w:tab/>
        <w:t>Como se ha dicho, para que proceda el sobreseimiento es necesario que el sujeto obligado modifique el acto que se le reclama para el efecto de que el recurso quede sin materia.</w:t>
      </w:r>
    </w:p>
    <w:p w:rsidR="006E30D6" w:rsidRPr="00E020E8" w:rsidRDefault="006E30D6" w:rsidP="00E020E8">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6E30D6" w:rsidRPr="00E020E8" w:rsidRDefault="006E30D6" w:rsidP="00E020E8">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E020E8">
        <w:rPr>
          <w:rFonts w:ascii="Arial" w:eastAsia="Arial Unicode MS" w:hAnsi="Arial" w:cs="Arial"/>
          <w:color w:val="2E74B5" w:themeColor="accent1" w:themeShade="BF"/>
        </w:rPr>
        <w:tab/>
        <w:t xml:space="preserve">En el caso, si la materia del presente recurso fue la negativa de entregar la información, </w:t>
      </w:r>
      <w:r w:rsidRPr="00E020E8">
        <w:rPr>
          <w:rFonts w:ascii="Arial" w:eastAsia="Arial Unicode MS" w:hAnsi="Arial" w:cs="Arial"/>
          <w:b/>
          <w:color w:val="2E74B5" w:themeColor="accent1" w:themeShade="BF"/>
        </w:rPr>
        <w:t>dicha circunstancia no ha sido subsanada por la autoridad</w:t>
      </w:r>
      <w:r w:rsidRPr="00E020E8">
        <w:rPr>
          <w:rFonts w:ascii="Arial" w:eastAsia="Arial Unicode MS" w:hAnsi="Arial" w:cs="Arial"/>
          <w:color w:val="2E74B5" w:themeColor="accent1" w:themeShade="BF"/>
        </w:rPr>
        <w:t>, ya que la autoridad no ha notificado o enterado al solicitante de la nueva respuesta a la solicitud de acceso a la información pública.</w:t>
      </w:r>
    </w:p>
    <w:p w:rsidR="006E30D6" w:rsidRPr="00E020E8" w:rsidRDefault="006E30D6" w:rsidP="00E020E8">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6E30D6" w:rsidRPr="00E020E8" w:rsidRDefault="006E30D6" w:rsidP="00E020E8">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E020E8">
        <w:rPr>
          <w:rFonts w:ascii="Arial" w:eastAsia="Arial Unicode MS" w:hAnsi="Arial" w:cs="Arial"/>
          <w:color w:val="2E74B5" w:themeColor="accent1" w:themeShade="BF"/>
        </w:rPr>
        <w:tab/>
        <w:t>Es por ello que, si la controversia en este asunto es por la entrega de la información, en el caso, es evidente que, la misma no ha sido subsanada por el sujeto obligado.</w:t>
      </w:r>
    </w:p>
    <w:p w:rsidR="006E30D6" w:rsidRPr="00E020E8" w:rsidRDefault="006E30D6" w:rsidP="00E020E8">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6E30D6" w:rsidRPr="00E020E8" w:rsidRDefault="006E30D6" w:rsidP="00E020E8">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r w:rsidRPr="00E020E8">
        <w:rPr>
          <w:rFonts w:ascii="Arial" w:eastAsia="Arial Unicode MS" w:hAnsi="Arial" w:cs="Arial"/>
          <w:color w:val="2E74B5" w:themeColor="accent1" w:themeShade="BF"/>
        </w:rPr>
        <w:tab/>
      </w:r>
      <w:r w:rsidR="009A21BA" w:rsidRPr="00E020E8">
        <w:rPr>
          <w:rFonts w:ascii="Arial" w:eastAsia="Arial Unicode MS" w:hAnsi="Arial" w:cs="Arial"/>
          <w:b/>
          <w:color w:val="2E74B5" w:themeColor="accent1" w:themeShade="BF"/>
        </w:rPr>
        <w:t>5.1</w:t>
      </w:r>
      <w:r w:rsidRPr="00E020E8">
        <w:rPr>
          <w:rFonts w:ascii="Arial" w:eastAsia="Arial Unicode MS" w:hAnsi="Arial" w:cs="Arial"/>
          <w:b/>
          <w:color w:val="2E74B5" w:themeColor="accent1" w:themeShade="BF"/>
        </w:rPr>
        <w:t>.</w:t>
      </w:r>
      <w:r w:rsidR="009A21BA" w:rsidRPr="00E020E8">
        <w:rPr>
          <w:rFonts w:ascii="Arial" w:eastAsia="Arial Unicode MS" w:hAnsi="Arial" w:cs="Arial"/>
          <w:b/>
          <w:color w:val="2E74B5" w:themeColor="accent1" w:themeShade="BF"/>
        </w:rPr>
        <w:t>3</w:t>
      </w:r>
      <w:r w:rsidRPr="00E020E8">
        <w:rPr>
          <w:rFonts w:ascii="Arial" w:eastAsia="Arial Unicode MS" w:hAnsi="Arial" w:cs="Arial"/>
          <w:b/>
          <w:color w:val="2E74B5" w:themeColor="accent1" w:themeShade="BF"/>
        </w:rPr>
        <w:t>. Conclusión sobre el sobreseimiento</w:t>
      </w:r>
      <w:r w:rsidRPr="00E020E8">
        <w:rPr>
          <w:rFonts w:ascii="Arial" w:eastAsia="Arial Unicode MS" w:hAnsi="Arial" w:cs="Arial"/>
          <w:color w:val="2E74B5" w:themeColor="accent1" w:themeShade="BF"/>
        </w:rPr>
        <w:t>.</w:t>
      </w:r>
    </w:p>
    <w:p w:rsidR="006E30D6" w:rsidRPr="00E020E8" w:rsidRDefault="006E30D6" w:rsidP="00E020E8">
      <w:pPr>
        <w:pStyle w:val="NormalWeb"/>
        <w:tabs>
          <w:tab w:val="left" w:pos="0"/>
        </w:tabs>
        <w:spacing w:before="0" w:beforeAutospacing="0" w:after="0" w:afterAutospacing="0" w:line="276" w:lineRule="auto"/>
        <w:jc w:val="both"/>
        <w:rPr>
          <w:rFonts w:ascii="Arial" w:eastAsia="Arial Unicode MS" w:hAnsi="Arial" w:cs="Arial"/>
          <w:color w:val="2E74B5" w:themeColor="accent1" w:themeShade="BF"/>
        </w:rPr>
      </w:pPr>
    </w:p>
    <w:p w:rsidR="006E30D6" w:rsidRPr="00E020E8" w:rsidRDefault="006E30D6" w:rsidP="00E020E8">
      <w:pPr>
        <w:spacing w:after="0"/>
        <w:ind w:firstLine="708"/>
        <w:jc w:val="both"/>
        <w:rPr>
          <w:rFonts w:ascii="Arial" w:eastAsia="Arial Unicode MS" w:hAnsi="Arial" w:cs="Arial"/>
          <w:color w:val="2E74B5" w:themeColor="accent1" w:themeShade="BF"/>
          <w:sz w:val="24"/>
          <w:szCs w:val="24"/>
          <w:lang w:eastAsia="es-MX"/>
        </w:rPr>
      </w:pPr>
      <w:r w:rsidRPr="00E020E8">
        <w:rPr>
          <w:rFonts w:ascii="Arial" w:eastAsia="Arial Unicode MS" w:hAnsi="Arial" w:cs="Arial"/>
          <w:color w:val="2E74B5" w:themeColor="accent1" w:themeShade="BF"/>
          <w:sz w:val="24"/>
          <w:szCs w:val="24"/>
        </w:rPr>
        <w:t xml:space="preserve">Así pues, como quedó visto, la autoridad no justificó haber dado al solicitante la nueva respuesta, </w:t>
      </w:r>
      <w:r w:rsidRPr="00E020E8">
        <w:rPr>
          <w:rFonts w:ascii="Arial" w:eastAsia="Arial Unicode MS" w:hAnsi="Arial" w:cs="Arial"/>
          <w:color w:val="2E74B5" w:themeColor="accent1" w:themeShade="BF"/>
          <w:sz w:val="24"/>
          <w:szCs w:val="24"/>
          <w:lang w:eastAsia="es-MX"/>
        </w:rPr>
        <w:t>de tal manera que en el presente recurso no se actualice el sobreseimiento, pues para ello era necesario que la</w:t>
      </w:r>
      <w:r w:rsidR="007C6626" w:rsidRPr="00E020E8">
        <w:rPr>
          <w:rFonts w:ascii="Arial" w:eastAsia="Arial Unicode MS" w:hAnsi="Arial" w:cs="Arial"/>
          <w:color w:val="2E74B5" w:themeColor="accent1" w:themeShade="BF"/>
          <w:sz w:val="24"/>
          <w:szCs w:val="24"/>
          <w:lang w:eastAsia="es-MX"/>
        </w:rPr>
        <w:t xml:space="preserve"> parte</w:t>
      </w:r>
      <w:r w:rsidRPr="00E020E8">
        <w:rPr>
          <w:rFonts w:ascii="Arial" w:eastAsia="Arial Unicode MS" w:hAnsi="Arial" w:cs="Arial"/>
          <w:color w:val="2E74B5" w:themeColor="accent1" w:themeShade="BF"/>
          <w:sz w:val="24"/>
          <w:szCs w:val="24"/>
          <w:lang w:eastAsia="es-MX"/>
        </w:rPr>
        <w:t xml:space="preserve"> recurrente se allegara de todos aquéllos elementos necesarios para obtener la información que solicitó y que en el caso no aconteció.</w:t>
      </w:r>
    </w:p>
    <w:p w:rsidR="006E30D6" w:rsidRPr="00E020E8" w:rsidRDefault="006E30D6" w:rsidP="00E020E8">
      <w:pPr>
        <w:pStyle w:val="corte4fondo"/>
        <w:spacing w:line="276" w:lineRule="auto"/>
        <w:ind w:firstLine="0"/>
        <w:rPr>
          <w:rFonts w:cs="Arial"/>
          <w:color w:val="2E74B5" w:themeColor="accent1" w:themeShade="BF"/>
          <w:sz w:val="24"/>
          <w:szCs w:val="24"/>
        </w:rPr>
      </w:pPr>
    </w:p>
    <w:p w:rsidR="006E30D6" w:rsidRPr="00E020E8" w:rsidRDefault="006E30D6" w:rsidP="00E020E8">
      <w:pPr>
        <w:pStyle w:val="corte4fondo"/>
        <w:spacing w:line="276" w:lineRule="auto"/>
        <w:ind w:firstLine="708"/>
        <w:rPr>
          <w:rFonts w:cs="Arial"/>
          <w:color w:val="2E74B5" w:themeColor="accent1" w:themeShade="BF"/>
          <w:sz w:val="24"/>
          <w:szCs w:val="24"/>
        </w:rPr>
      </w:pPr>
      <w:r w:rsidRPr="00E020E8">
        <w:rPr>
          <w:rFonts w:cs="Arial"/>
          <w:b/>
          <w:color w:val="2E74B5" w:themeColor="accent1" w:themeShade="BF"/>
          <w:sz w:val="24"/>
          <w:szCs w:val="24"/>
        </w:rPr>
        <w:t>SEXTO</w:t>
      </w:r>
      <w:r w:rsidRPr="00E020E8">
        <w:rPr>
          <w:rFonts w:cs="Arial"/>
          <w:color w:val="2E74B5" w:themeColor="accent1" w:themeShade="BF"/>
          <w:sz w:val="24"/>
          <w:szCs w:val="24"/>
        </w:rPr>
        <w:t xml:space="preserve">. </w:t>
      </w:r>
      <w:r w:rsidRPr="00E020E8">
        <w:rPr>
          <w:rFonts w:cs="Arial"/>
          <w:b/>
          <w:color w:val="2E74B5" w:themeColor="accent1" w:themeShade="BF"/>
          <w:sz w:val="24"/>
          <w:szCs w:val="24"/>
        </w:rPr>
        <w:t xml:space="preserve">Causales de improcedencia. </w:t>
      </w:r>
      <w:r w:rsidRPr="00E020E8">
        <w:rPr>
          <w:rFonts w:cs="Arial"/>
          <w:color w:val="2E74B5" w:themeColor="accent1" w:themeShade="BF"/>
          <w:sz w:val="24"/>
          <w:szCs w:val="24"/>
        </w:rPr>
        <w:t>Las causales de improcedencia previstas en el artículo 179 de la Ley de Transparencia son de estudio oficioso y preferente a cualquier otra cuestión planteada. En el caso al no existir causas de improcedencia invocada por las partes o advertida por este órgano colegiado se analiza el fondo de la cuestión planteada.</w:t>
      </w:r>
    </w:p>
    <w:p w:rsidR="006E30D6" w:rsidRPr="00E020E8" w:rsidRDefault="006E30D6" w:rsidP="00E020E8">
      <w:pPr>
        <w:pStyle w:val="corte4fondo"/>
        <w:spacing w:line="276" w:lineRule="auto"/>
        <w:ind w:firstLine="708"/>
        <w:rPr>
          <w:rFonts w:cs="Arial"/>
          <w:color w:val="2E74B5" w:themeColor="accent1" w:themeShade="BF"/>
          <w:sz w:val="24"/>
          <w:szCs w:val="24"/>
        </w:rPr>
      </w:pPr>
    </w:p>
    <w:p w:rsidR="006E30D6" w:rsidRPr="00E020E8" w:rsidRDefault="006E30D6" w:rsidP="00E020E8">
      <w:pPr>
        <w:pStyle w:val="corte4fondo"/>
        <w:spacing w:line="276" w:lineRule="auto"/>
        <w:ind w:firstLine="708"/>
        <w:rPr>
          <w:rFonts w:cs="Arial"/>
          <w:color w:val="2E74B5" w:themeColor="accent1" w:themeShade="BF"/>
          <w:sz w:val="24"/>
          <w:szCs w:val="24"/>
        </w:rPr>
      </w:pPr>
      <w:r w:rsidRPr="00E020E8">
        <w:rPr>
          <w:rFonts w:cs="Arial"/>
          <w:b/>
          <w:color w:val="2E74B5" w:themeColor="accent1" w:themeShade="BF"/>
          <w:sz w:val="24"/>
          <w:szCs w:val="24"/>
        </w:rPr>
        <w:t>SÉPTIMO. Estudio de los agravios</w:t>
      </w:r>
      <w:r w:rsidRPr="00E020E8">
        <w:rPr>
          <w:rFonts w:cs="Arial"/>
          <w:color w:val="2E74B5" w:themeColor="accent1" w:themeShade="BF"/>
          <w:sz w:val="24"/>
          <w:szCs w:val="24"/>
        </w:rPr>
        <w:t xml:space="preserve">.  </w:t>
      </w:r>
    </w:p>
    <w:p w:rsidR="006E30D6" w:rsidRPr="00E020E8" w:rsidRDefault="006E30D6" w:rsidP="00E020E8">
      <w:pPr>
        <w:pStyle w:val="corte4fondo"/>
        <w:spacing w:line="276" w:lineRule="auto"/>
        <w:ind w:firstLine="0"/>
        <w:rPr>
          <w:rFonts w:cs="Arial"/>
          <w:color w:val="2E74B5" w:themeColor="accent1" w:themeShade="BF"/>
          <w:sz w:val="24"/>
          <w:szCs w:val="24"/>
        </w:rPr>
      </w:pPr>
    </w:p>
    <w:p w:rsidR="006E30D6" w:rsidRPr="00E020E8" w:rsidRDefault="006E30D6" w:rsidP="00E020E8">
      <w:pPr>
        <w:pStyle w:val="corte4fondo"/>
        <w:spacing w:line="276" w:lineRule="auto"/>
        <w:ind w:firstLine="0"/>
        <w:rPr>
          <w:rFonts w:cs="Arial"/>
          <w:b/>
          <w:color w:val="2E74B5" w:themeColor="accent1" w:themeShade="BF"/>
          <w:sz w:val="24"/>
          <w:szCs w:val="24"/>
        </w:rPr>
      </w:pPr>
      <w:r w:rsidRPr="00E020E8">
        <w:rPr>
          <w:rFonts w:cs="Arial"/>
          <w:color w:val="2E74B5" w:themeColor="accent1" w:themeShade="BF"/>
          <w:sz w:val="24"/>
          <w:szCs w:val="24"/>
        </w:rPr>
        <w:tab/>
      </w:r>
      <w:r w:rsidRPr="00E020E8">
        <w:rPr>
          <w:rFonts w:cs="Arial"/>
          <w:b/>
          <w:color w:val="2E74B5" w:themeColor="accent1" w:themeShade="BF"/>
          <w:sz w:val="24"/>
          <w:szCs w:val="24"/>
        </w:rPr>
        <w:t>7.1. Agravios.</w:t>
      </w:r>
    </w:p>
    <w:p w:rsidR="006E30D6" w:rsidRPr="00E020E8" w:rsidRDefault="006E30D6" w:rsidP="00E020E8">
      <w:pPr>
        <w:pStyle w:val="corte4fondo"/>
        <w:spacing w:line="276" w:lineRule="auto"/>
        <w:ind w:firstLine="708"/>
        <w:rPr>
          <w:rFonts w:cs="Arial"/>
          <w:color w:val="2E74B5" w:themeColor="accent1" w:themeShade="BF"/>
          <w:sz w:val="24"/>
          <w:szCs w:val="24"/>
        </w:rPr>
      </w:pPr>
    </w:p>
    <w:p w:rsidR="007C6626" w:rsidRPr="00E020E8" w:rsidRDefault="006E30D6" w:rsidP="00E020E8">
      <w:pPr>
        <w:pStyle w:val="corte4fondo"/>
        <w:tabs>
          <w:tab w:val="left" w:pos="567"/>
        </w:tabs>
        <w:spacing w:line="276" w:lineRule="auto"/>
        <w:rPr>
          <w:rFonts w:cs="Arial"/>
          <w:i/>
          <w:color w:val="2E74B5" w:themeColor="accent1" w:themeShade="BF"/>
          <w:sz w:val="20"/>
        </w:rPr>
      </w:pPr>
      <w:r w:rsidRPr="00E020E8">
        <w:rPr>
          <w:rFonts w:cs="Arial"/>
          <w:color w:val="2E74B5" w:themeColor="accent1" w:themeShade="BF"/>
          <w:sz w:val="24"/>
          <w:szCs w:val="24"/>
        </w:rPr>
        <w:t xml:space="preserve">El hoy recurrente manifestó como motivos de inconformidad, en esencia lo siguiente: </w:t>
      </w:r>
      <w:r w:rsidRPr="00E020E8">
        <w:rPr>
          <w:rFonts w:cs="Arial"/>
          <w:color w:val="2E74B5" w:themeColor="accent1" w:themeShade="BF"/>
          <w:sz w:val="20"/>
        </w:rPr>
        <w:t>“</w:t>
      </w:r>
      <w:r w:rsidRPr="00E020E8">
        <w:rPr>
          <w:rFonts w:cs="Arial"/>
          <w:i/>
          <w:color w:val="2E74B5" w:themeColor="accent1" w:themeShade="BF"/>
          <w:sz w:val="20"/>
        </w:rPr>
        <w:t>…</w:t>
      </w:r>
      <w:r w:rsidR="007C6626" w:rsidRPr="00E020E8">
        <w:rPr>
          <w:rFonts w:cs="Arial"/>
          <w:i/>
          <w:color w:val="2E74B5" w:themeColor="accent1" w:themeShade="BF"/>
          <w:sz w:val="20"/>
        </w:rPr>
        <w:t>Recurso de Revisión y/o Afirmativa Ficta.</w:t>
      </w:r>
    </w:p>
    <w:p w:rsidR="007C6626" w:rsidRPr="00E020E8" w:rsidRDefault="007C6626" w:rsidP="00E020E8">
      <w:pPr>
        <w:pStyle w:val="corte4fondo"/>
        <w:tabs>
          <w:tab w:val="left" w:pos="567"/>
        </w:tabs>
        <w:spacing w:line="276" w:lineRule="auto"/>
        <w:rPr>
          <w:rFonts w:cs="Arial"/>
          <w:i/>
          <w:color w:val="2E74B5" w:themeColor="accent1" w:themeShade="BF"/>
          <w:sz w:val="20"/>
        </w:rPr>
      </w:pPr>
    </w:p>
    <w:p w:rsidR="007C6626" w:rsidRPr="00E020E8" w:rsidRDefault="007C6626" w:rsidP="00E020E8">
      <w:pPr>
        <w:pStyle w:val="corte4fondo"/>
        <w:tabs>
          <w:tab w:val="left" w:pos="567"/>
        </w:tabs>
        <w:spacing w:line="276" w:lineRule="auto"/>
        <w:rPr>
          <w:rFonts w:cs="Arial"/>
          <w:i/>
          <w:color w:val="2E74B5" w:themeColor="accent1" w:themeShade="BF"/>
          <w:sz w:val="20"/>
        </w:rPr>
      </w:pPr>
      <w:r w:rsidRPr="00E020E8">
        <w:rPr>
          <w:rFonts w:cs="Arial"/>
          <w:i/>
          <w:color w:val="2E74B5" w:themeColor="accent1" w:themeShade="BF"/>
          <w:sz w:val="20"/>
        </w:rPr>
        <w:t xml:space="preserve">El sujeto obligado </w:t>
      </w:r>
      <w:proofErr w:type="spellStart"/>
      <w:r w:rsidRPr="00E020E8">
        <w:rPr>
          <w:rFonts w:cs="Arial"/>
          <w:i/>
          <w:color w:val="2E74B5" w:themeColor="accent1" w:themeShade="BF"/>
          <w:sz w:val="20"/>
        </w:rPr>
        <w:t>esta</w:t>
      </w:r>
      <w:proofErr w:type="spellEnd"/>
      <w:r w:rsidRPr="00E020E8">
        <w:rPr>
          <w:rFonts w:cs="Arial"/>
          <w:i/>
          <w:color w:val="2E74B5" w:themeColor="accent1" w:themeShade="BF"/>
          <w:sz w:val="20"/>
        </w:rPr>
        <w:t xml:space="preserve"> proporcionando información no relacionada a lo solicitado, por lo que solicito se entienda como afirmativa ficta, por lo que deberá proporcionar lo peticionado de </w:t>
      </w:r>
      <w:proofErr w:type="gramStart"/>
      <w:r w:rsidRPr="00E020E8">
        <w:rPr>
          <w:rFonts w:cs="Arial"/>
          <w:i/>
          <w:color w:val="2E74B5" w:themeColor="accent1" w:themeShade="BF"/>
          <w:sz w:val="20"/>
        </w:rPr>
        <w:t>inicio  en</w:t>
      </w:r>
      <w:proofErr w:type="gramEnd"/>
      <w:r w:rsidRPr="00E020E8">
        <w:rPr>
          <w:rFonts w:cs="Arial"/>
          <w:i/>
          <w:color w:val="2E74B5" w:themeColor="accent1" w:themeShade="BF"/>
          <w:sz w:val="20"/>
        </w:rPr>
        <w:t xml:space="preserve"> la solicitud con folio 00600518, ya que se invocan todas las siguientes causales de procedencia:</w:t>
      </w:r>
    </w:p>
    <w:p w:rsidR="007C6626" w:rsidRPr="00E020E8" w:rsidRDefault="007C6626" w:rsidP="00E020E8">
      <w:pPr>
        <w:pStyle w:val="corte4fondo"/>
        <w:tabs>
          <w:tab w:val="left" w:pos="567"/>
        </w:tabs>
        <w:spacing w:line="276" w:lineRule="auto"/>
        <w:rPr>
          <w:rFonts w:cs="Arial"/>
          <w:i/>
          <w:color w:val="2E74B5" w:themeColor="accent1" w:themeShade="BF"/>
          <w:sz w:val="20"/>
        </w:rPr>
      </w:pPr>
    </w:p>
    <w:p w:rsidR="007C6626" w:rsidRPr="00E020E8" w:rsidRDefault="007C6626" w:rsidP="00E020E8">
      <w:pPr>
        <w:pStyle w:val="corte4fondo"/>
        <w:tabs>
          <w:tab w:val="left" w:pos="567"/>
        </w:tabs>
        <w:spacing w:line="276" w:lineRule="auto"/>
        <w:rPr>
          <w:rFonts w:cs="Arial"/>
          <w:i/>
          <w:color w:val="2E74B5" w:themeColor="accent1" w:themeShade="BF"/>
          <w:sz w:val="20"/>
        </w:rPr>
      </w:pPr>
      <w:r w:rsidRPr="00E020E8">
        <w:rPr>
          <w:rFonts w:cs="Arial"/>
          <w:i/>
          <w:color w:val="2E74B5" w:themeColor="accent1" w:themeShade="BF"/>
          <w:sz w:val="20"/>
        </w:rPr>
        <w:t>ARTÍCULO 167. El recurso de revisión procederá en contra de:</w:t>
      </w:r>
    </w:p>
    <w:p w:rsidR="007C6626" w:rsidRPr="00E020E8" w:rsidRDefault="007C6626" w:rsidP="00E020E8">
      <w:pPr>
        <w:pStyle w:val="corte4fondo"/>
        <w:tabs>
          <w:tab w:val="left" w:pos="567"/>
        </w:tabs>
        <w:spacing w:line="276" w:lineRule="auto"/>
        <w:rPr>
          <w:rFonts w:cs="Arial"/>
          <w:i/>
          <w:color w:val="2E74B5" w:themeColor="accent1" w:themeShade="BF"/>
          <w:sz w:val="20"/>
        </w:rPr>
      </w:pPr>
      <w:r w:rsidRPr="00E020E8">
        <w:rPr>
          <w:rFonts w:cs="Arial"/>
          <w:i/>
          <w:color w:val="2E74B5" w:themeColor="accent1" w:themeShade="BF"/>
          <w:sz w:val="20"/>
        </w:rPr>
        <w:t>I. La clasificación de la información;</w:t>
      </w:r>
    </w:p>
    <w:p w:rsidR="007C6626" w:rsidRPr="00E020E8" w:rsidRDefault="007C6626" w:rsidP="00E020E8">
      <w:pPr>
        <w:pStyle w:val="corte4fondo"/>
        <w:tabs>
          <w:tab w:val="left" w:pos="567"/>
        </w:tabs>
        <w:spacing w:line="276" w:lineRule="auto"/>
        <w:rPr>
          <w:rFonts w:cs="Arial"/>
          <w:i/>
          <w:color w:val="2E74B5" w:themeColor="accent1" w:themeShade="BF"/>
          <w:sz w:val="20"/>
        </w:rPr>
      </w:pPr>
      <w:r w:rsidRPr="00E020E8">
        <w:rPr>
          <w:rFonts w:cs="Arial"/>
          <w:i/>
          <w:color w:val="2E74B5" w:themeColor="accent1" w:themeShade="BF"/>
          <w:sz w:val="20"/>
        </w:rPr>
        <w:t>II. La declaración de inexistencia de información;</w:t>
      </w:r>
    </w:p>
    <w:p w:rsidR="007C6626" w:rsidRPr="00E020E8" w:rsidRDefault="007C6626" w:rsidP="00E020E8">
      <w:pPr>
        <w:pStyle w:val="corte4fondo"/>
        <w:tabs>
          <w:tab w:val="left" w:pos="567"/>
        </w:tabs>
        <w:spacing w:line="276" w:lineRule="auto"/>
        <w:rPr>
          <w:rFonts w:cs="Arial"/>
          <w:i/>
          <w:color w:val="2E74B5" w:themeColor="accent1" w:themeShade="BF"/>
          <w:sz w:val="20"/>
        </w:rPr>
      </w:pPr>
      <w:r w:rsidRPr="00E020E8">
        <w:rPr>
          <w:rFonts w:cs="Arial"/>
          <w:i/>
          <w:color w:val="2E74B5" w:themeColor="accent1" w:themeShade="BF"/>
          <w:sz w:val="20"/>
        </w:rPr>
        <w:t>III. La declaración de incompetencia por el sujeto obligado;</w:t>
      </w:r>
    </w:p>
    <w:p w:rsidR="007C6626" w:rsidRPr="00E020E8" w:rsidRDefault="007C6626" w:rsidP="00E020E8">
      <w:pPr>
        <w:pStyle w:val="corte4fondo"/>
        <w:tabs>
          <w:tab w:val="left" w:pos="567"/>
        </w:tabs>
        <w:spacing w:line="276" w:lineRule="auto"/>
        <w:rPr>
          <w:rFonts w:cs="Arial"/>
          <w:i/>
          <w:color w:val="2E74B5" w:themeColor="accent1" w:themeShade="BF"/>
          <w:sz w:val="20"/>
        </w:rPr>
      </w:pPr>
      <w:r w:rsidRPr="00E020E8">
        <w:rPr>
          <w:rFonts w:cs="Arial"/>
          <w:i/>
          <w:color w:val="2E74B5" w:themeColor="accent1" w:themeShade="BF"/>
          <w:sz w:val="20"/>
        </w:rPr>
        <w:t>IV. La entrega de información incompleta;</w:t>
      </w:r>
    </w:p>
    <w:p w:rsidR="007C6626" w:rsidRPr="00E020E8" w:rsidRDefault="007C6626" w:rsidP="00E020E8">
      <w:pPr>
        <w:pStyle w:val="corte4fondo"/>
        <w:tabs>
          <w:tab w:val="left" w:pos="567"/>
        </w:tabs>
        <w:spacing w:line="276" w:lineRule="auto"/>
        <w:rPr>
          <w:rFonts w:cs="Arial"/>
          <w:i/>
          <w:color w:val="2E74B5" w:themeColor="accent1" w:themeShade="BF"/>
          <w:sz w:val="20"/>
        </w:rPr>
      </w:pPr>
      <w:r w:rsidRPr="00E020E8">
        <w:rPr>
          <w:rFonts w:cs="Arial"/>
          <w:i/>
          <w:color w:val="2E74B5" w:themeColor="accent1" w:themeShade="BF"/>
          <w:sz w:val="20"/>
        </w:rPr>
        <w:t>V. La entrega de información que no corresponda con lo</w:t>
      </w:r>
    </w:p>
    <w:p w:rsidR="007C6626" w:rsidRPr="00E020E8" w:rsidRDefault="007C6626" w:rsidP="00E020E8">
      <w:pPr>
        <w:pStyle w:val="corte4fondo"/>
        <w:tabs>
          <w:tab w:val="left" w:pos="567"/>
        </w:tabs>
        <w:spacing w:line="276" w:lineRule="auto"/>
        <w:rPr>
          <w:rFonts w:cs="Arial"/>
          <w:i/>
          <w:color w:val="2E74B5" w:themeColor="accent1" w:themeShade="BF"/>
          <w:sz w:val="20"/>
        </w:rPr>
      </w:pPr>
      <w:r w:rsidRPr="00E020E8">
        <w:rPr>
          <w:rFonts w:cs="Arial"/>
          <w:i/>
          <w:color w:val="2E74B5" w:themeColor="accent1" w:themeShade="BF"/>
          <w:sz w:val="20"/>
        </w:rPr>
        <w:t>solicitado;</w:t>
      </w:r>
    </w:p>
    <w:p w:rsidR="007C6626" w:rsidRPr="00E020E8" w:rsidRDefault="007C6626" w:rsidP="00E020E8">
      <w:pPr>
        <w:pStyle w:val="corte4fondo"/>
        <w:tabs>
          <w:tab w:val="left" w:pos="567"/>
        </w:tabs>
        <w:spacing w:line="276" w:lineRule="auto"/>
        <w:rPr>
          <w:rFonts w:cs="Arial"/>
          <w:i/>
          <w:color w:val="2E74B5" w:themeColor="accent1" w:themeShade="BF"/>
          <w:sz w:val="20"/>
        </w:rPr>
      </w:pPr>
      <w:r w:rsidRPr="00E020E8">
        <w:rPr>
          <w:rFonts w:cs="Arial"/>
          <w:i/>
          <w:color w:val="2E74B5" w:themeColor="accent1" w:themeShade="BF"/>
          <w:sz w:val="20"/>
        </w:rPr>
        <w:t>VI. La falta de respuesta a una solicitud de acceso a la</w:t>
      </w:r>
    </w:p>
    <w:p w:rsidR="007C6626" w:rsidRPr="00E020E8" w:rsidRDefault="007C6626" w:rsidP="00E020E8">
      <w:pPr>
        <w:pStyle w:val="corte4fondo"/>
        <w:tabs>
          <w:tab w:val="left" w:pos="567"/>
        </w:tabs>
        <w:spacing w:line="276" w:lineRule="auto"/>
        <w:rPr>
          <w:rFonts w:cs="Arial"/>
          <w:i/>
          <w:color w:val="2E74B5" w:themeColor="accent1" w:themeShade="BF"/>
          <w:sz w:val="20"/>
        </w:rPr>
      </w:pPr>
      <w:r w:rsidRPr="00E020E8">
        <w:rPr>
          <w:rFonts w:cs="Arial"/>
          <w:i/>
          <w:color w:val="2E74B5" w:themeColor="accent1" w:themeShade="BF"/>
          <w:sz w:val="20"/>
        </w:rPr>
        <w:t>información dentro de los plazos establecidos en la ley;</w:t>
      </w:r>
    </w:p>
    <w:p w:rsidR="007C6626" w:rsidRPr="00E020E8" w:rsidRDefault="007C6626" w:rsidP="00E020E8">
      <w:pPr>
        <w:pStyle w:val="corte4fondo"/>
        <w:tabs>
          <w:tab w:val="left" w:pos="567"/>
        </w:tabs>
        <w:spacing w:line="276" w:lineRule="auto"/>
        <w:rPr>
          <w:rFonts w:cs="Arial"/>
          <w:i/>
          <w:color w:val="2E74B5" w:themeColor="accent1" w:themeShade="BF"/>
          <w:sz w:val="20"/>
        </w:rPr>
      </w:pPr>
      <w:r w:rsidRPr="00E020E8">
        <w:rPr>
          <w:rFonts w:cs="Arial"/>
          <w:i/>
          <w:color w:val="2E74B5" w:themeColor="accent1" w:themeShade="BF"/>
          <w:sz w:val="20"/>
        </w:rPr>
        <w:t>VII. La notificación, entrega o puesta a disposición de</w:t>
      </w:r>
    </w:p>
    <w:p w:rsidR="006E30D6" w:rsidRPr="00E020E8" w:rsidRDefault="007C6626" w:rsidP="00E020E8">
      <w:pPr>
        <w:pStyle w:val="corte4fondo"/>
        <w:tabs>
          <w:tab w:val="left" w:pos="567"/>
        </w:tabs>
        <w:spacing w:line="276" w:lineRule="auto"/>
        <w:rPr>
          <w:rFonts w:cs="Arial"/>
          <w:i/>
          <w:color w:val="2E74B5" w:themeColor="accent1" w:themeShade="BF"/>
          <w:sz w:val="20"/>
        </w:rPr>
      </w:pPr>
      <w:r w:rsidRPr="00E020E8">
        <w:rPr>
          <w:rFonts w:cs="Arial"/>
          <w:i/>
          <w:color w:val="2E74B5" w:themeColor="accent1" w:themeShade="BF"/>
          <w:sz w:val="20"/>
        </w:rPr>
        <w:t xml:space="preserve">información en una modalidad o formato distinto al </w:t>
      </w:r>
      <w:proofErr w:type="gramStart"/>
      <w:r w:rsidRPr="00E020E8">
        <w:rPr>
          <w:rFonts w:cs="Arial"/>
          <w:i/>
          <w:color w:val="2E74B5" w:themeColor="accent1" w:themeShade="BF"/>
          <w:sz w:val="20"/>
        </w:rPr>
        <w:t>solicitado;</w:t>
      </w:r>
      <w:r w:rsidR="006E30D6" w:rsidRPr="00E020E8">
        <w:rPr>
          <w:rFonts w:cs="Arial"/>
          <w:i/>
          <w:color w:val="2E74B5" w:themeColor="accent1" w:themeShade="BF"/>
          <w:sz w:val="20"/>
        </w:rPr>
        <w:t>…</w:t>
      </w:r>
      <w:proofErr w:type="gramEnd"/>
      <w:r w:rsidR="006E30D6" w:rsidRPr="00E020E8">
        <w:rPr>
          <w:rFonts w:cs="Arial"/>
          <w:i/>
          <w:color w:val="2E74B5" w:themeColor="accent1" w:themeShade="BF"/>
          <w:sz w:val="20"/>
        </w:rPr>
        <w:t xml:space="preserve">” </w:t>
      </w:r>
    </w:p>
    <w:p w:rsidR="007C6626" w:rsidRPr="00E020E8" w:rsidRDefault="007C6626" w:rsidP="00E020E8">
      <w:pPr>
        <w:pStyle w:val="corte4fondo"/>
        <w:tabs>
          <w:tab w:val="left" w:pos="567"/>
        </w:tabs>
        <w:spacing w:line="276" w:lineRule="auto"/>
        <w:rPr>
          <w:rFonts w:cs="Arial"/>
          <w:i/>
          <w:color w:val="2E74B5" w:themeColor="accent1" w:themeShade="BF"/>
          <w:sz w:val="20"/>
        </w:rPr>
      </w:pPr>
    </w:p>
    <w:p w:rsidR="007C6626" w:rsidRPr="00E020E8" w:rsidRDefault="009A21BA" w:rsidP="00E020E8">
      <w:pPr>
        <w:pStyle w:val="corte4fondo"/>
        <w:spacing w:line="276" w:lineRule="auto"/>
        <w:ind w:firstLine="708"/>
        <w:rPr>
          <w:rFonts w:cs="Arial"/>
          <w:b/>
          <w:color w:val="2E74B5" w:themeColor="accent1" w:themeShade="BF"/>
          <w:sz w:val="24"/>
          <w:szCs w:val="24"/>
        </w:rPr>
      </w:pPr>
      <w:r w:rsidRPr="00E020E8">
        <w:rPr>
          <w:rFonts w:cs="Arial"/>
          <w:b/>
          <w:color w:val="2E74B5" w:themeColor="accent1" w:themeShade="BF"/>
          <w:sz w:val="24"/>
          <w:szCs w:val="24"/>
        </w:rPr>
        <w:t>7</w:t>
      </w:r>
      <w:r w:rsidR="007C6626" w:rsidRPr="00E020E8">
        <w:rPr>
          <w:rFonts w:cs="Arial"/>
          <w:b/>
          <w:color w:val="2E74B5" w:themeColor="accent1" w:themeShade="BF"/>
          <w:sz w:val="24"/>
          <w:szCs w:val="24"/>
        </w:rPr>
        <w:t xml:space="preserve">.1.1. Agravio infundado. </w:t>
      </w:r>
    </w:p>
    <w:p w:rsidR="007C6626" w:rsidRPr="00E020E8" w:rsidRDefault="007C6626" w:rsidP="00E020E8">
      <w:pPr>
        <w:pStyle w:val="corte4fondo"/>
        <w:spacing w:line="276" w:lineRule="auto"/>
        <w:ind w:firstLine="708"/>
        <w:rPr>
          <w:rFonts w:cs="Arial"/>
          <w:color w:val="2E74B5" w:themeColor="accent1" w:themeShade="BF"/>
          <w:sz w:val="24"/>
          <w:szCs w:val="24"/>
        </w:rPr>
      </w:pPr>
    </w:p>
    <w:p w:rsidR="007C6626" w:rsidRPr="00E020E8" w:rsidRDefault="007C6626" w:rsidP="00E020E8">
      <w:pPr>
        <w:pStyle w:val="corte4fondo"/>
        <w:spacing w:line="276" w:lineRule="auto"/>
        <w:ind w:firstLine="708"/>
        <w:rPr>
          <w:rFonts w:cs="Arial"/>
          <w:color w:val="2E74B5" w:themeColor="accent1" w:themeShade="BF"/>
          <w:sz w:val="24"/>
          <w:szCs w:val="24"/>
        </w:rPr>
      </w:pPr>
      <w:r w:rsidRPr="00E020E8">
        <w:rPr>
          <w:rFonts w:cs="Arial"/>
          <w:color w:val="2E74B5" w:themeColor="accent1" w:themeShade="BF"/>
          <w:sz w:val="24"/>
          <w:szCs w:val="24"/>
        </w:rPr>
        <w:t>Ello en cuanto la afirmativa ficta.</w:t>
      </w:r>
    </w:p>
    <w:p w:rsidR="007C6626" w:rsidRPr="00E020E8" w:rsidRDefault="007C6626" w:rsidP="00E020E8">
      <w:pPr>
        <w:pStyle w:val="corte4fondo"/>
        <w:spacing w:line="276" w:lineRule="auto"/>
        <w:ind w:firstLine="708"/>
        <w:rPr>
          <w:rFonts w:cs="Arial"/>
          <w:color w:val="2E74B5" w:themeColor="accent1" w:themeShade="BF"/>
          <w:sz w:val="24"/>
          <w:szCs w:val="24"/>
        </w:rPr>
      </w:pPr>
    </w:p>
    <w:p w:rsidR="007C6626" w:rsidRPr="00E020E8" w:rsidRDefault="007C6626" w:rsidP="00E020E8">
      <w:pPr>
        <w:pStyle w:val="corte4fondo"/>
        <w:spacing w:line="276" w:lineRule="auto"/>
        <w:ind w:firstLine="0"/>
        <w:rPr>
          <w:rFonts w:cs="Arial"/>
          <w:color w:val="2E74B5" w:themeColor="accent1" w:themeShade="BF"/>
          <w:sz w:val="23"/>
          <w:szCs w:val="23"/>
        </w:rPr>
      </w:pPr>
      <w:r w:rsidRPr="00E020E8">
        <w:rPr>
          <w:rFonts w:cs="Arial"/>
          <w:color w:val="2E74B5" w:themeColor="accent1" w:themeShade="BF"/>
          <w:sz w:val="24"/>
          <w:szCs w:val="24"/>
        </w:rPr>
        <w:t xml:space="preserve"> </w:t>
      </w:r>
      <w:r w:rsidRPr="00E020E8">
        <w:rPr>
          <w:rFonts w:cs="Arial"/>
          <w:color w:val="2E74B5" w:themeColor="accent1" w:themeShade="BF"/>
          <w:sz w:val="24"/>
          <w:szCs w:val="24"/>
        </w:rPr>
        <w:tab/>
      </w:r>
      <w:r w:rsidRPr="00E020E8">
        <w:rPr>
          <w:rFonts w:eastAsia="Arial Unicode MS" w:cs="Arial"/>
          <w:color w:val="2E74B5" w:themeColor="accent1" w:themeShade="BF"/>
          <w:sz w:val="24"/>
          <w:szCs w:val="24"/>
        </w:rPr>
        <w:t xml:space="preserve">Ahora, por lo que toca a la parte en donde el recurrente expresó a esta Comisión de Transparencia lo relativo </w:t>
      </w:r>
      <w:r w:rsidRPr="00E020E8">
        <w:rPr>
          <w:rFonts w:cs="Arial"/>
          <w:color w:val="2E74B5" w:themeColor="accent1" w:themeShade="BF"/>
          <w:sz w:val="23"/>
          <w:szCs w:val="23"/>
        </w:rPr>
        <w:t xml:space="preserve">principio de afirmativa </w:t>
      </w:r>
      <w:r w:rsidR="00587A24" w:rsidRPr="00E020E8">
        <w:rPr>
          <w:rFonts w:cs="Arial"/>
          <w:color w:val="2E74B5" w:themeColor="accent1" w:themeShade="BF"/>
          <w:sz w:val="23"/>
          <w:szCs w:val="23"/>
        </w:rPr>
        <w:t>ficta es infundado</w:t>
      </w:r>
      <w:r w:rsidRPr="00E020E8">
        <w:rPr>
          <w:rFonts w:cs="Arial"/>
          <w:color w:val="2E74B5" w:themeColor="accent1" w:themeShade="BF"/>
          <w:sz w:val="23"/>
          <w:szCs w:val="23"/>
        </w:rPr>
        <w:t xml:space="preserve"> porque dicho principio solamente tiene aplicación en caso de que el sujeto obligado no hubiese dado respuesta en tiempo, pues de ser así, es decir que el sujeto obligado hubiese sido omiso en dar respuesta a la solicitud de acceso a la información pública, esta Comisión de Transparencia tendría que aplicar el citado principio de afirmativa ficta.</w:t>
      </w:r>
    </w:p>
    <w:p w:rsidR="007C6626" w:rsidRPr="00E020E8" w:rsidRDefault="007C6626" w:rsidP="00E020E8">
      <w:pPr>
        <w:pStyle w:val="corte4fondo"/>
        <w:spacing w:line="276" w:lineRule="auto"/>
        <w:rPr>
          <w:rFonts w:cs="Arial"/>
          <w:color w:val="2E74B5" w:themeColor="accent1" w:themeShade="BF"/>
          <w:sz w:val="23"/>
          <w:szCs w:val="23"/>
        </w:rPr>
      </w:pPr>
    </w:p>
    <w:p w:rsidR="007C6626" w:rsidRPr="00E020E8" w:rsidRDefault="007C6626" w:rsidP="00E020E8">
      <w:pPr>
        <w:pStyle w:val="corte4fondo"/>
        <w:spacing w:line="276" w:lineRule="auto"/>
        <w:rPr>
          <w:rFonts w:cs="Arial"/>
          <w:color w:val="2E74B5" w:themeColor="accent1" w:themeShade="BF"/>
          <w:sz w:val="23"/>
          <w:szCs w:val="23"/>
        </w:rPr>
      </w:pPr>
      <w:r w:rsidRPr="00E020E8">
        <w:rPr>
          <w:rFonts w:cs="Arial"/>
          <w:color w:val="2E74B5" w:themeColor="accent1" w:themeShade="BF"/>
          <w:sz w:val="23"/>
          <w:szCs w:val="23"/>
        </w:rPr>
        <w:t>Así, dicho principio es una máxima del derecho de acceso a la información pública que consiste en que los solicitantes no permanezcan por tiempo indefinido en la incertidumbre del silencio de la autoridad de resolver su solicitud de acceso a la información pública en el plazo que le marcan los artículos 154 y 164 de la Ley de Transparencia y Acceso a la Información Pública del Estado, ya que estos preceptos tienen por objeto que los solicitantes no se vean afectados en su esfera jurídica ante la pasividad de la autoridad que legalmente debe de emitir una respuesta, de tal manera que no sea indefinida la conducta de abstención asumida por la autoridad.</w:t>
      </w:r>
      <w:r w:rsidRPr="00E020E8">
        <w:rPr>
          <w:rFonts w:cs="Arial"/>
          <w:color w:val="2E74B5" w:themeColor="accent1" w:themeShade="BF"/>
          <w:sz w:val="23"/>
          <w:szCs w:val="23"/>
        </w:rPr>
        <w:tab/>
      </w:r>
    </w:p>
    <w:p w:rsidR="007C6626" w:rsidRPr="00E020E8" w:rsidRDefault="007C6626" w:rsidP="00E020E8">
      <w:pPr>
        <w:pStyle w:val="corte4fondo"/>
        <w:spacing w:line="276" w:lineRule="auto"/>
        <w:rPr>
          <w:rFonts w:cs="Arial"/>
          <w:color w:val="2E74B5" w:themeColor="accent1" w:themeShade="BF"/>
          <w:sz w:val="23"/>
          <w:szCs w:val="23"/>
        </w:rPr>
      </w:pPr>
    </w:p>
    <w:p w:rsidR="007C6626" w:rsidRPr="00E020E8" w:rsidRDefault="007C6626" w:rsidP="00E020E8">
      <w:pPr>
        <w:pStyle w:val="corte4fondo"/>
        <w:spacing w:line="276" w:lineRule="auto"/>
        <w:rPr>
          <w:rFonts w:cs="Arial"/>
          <w:color w:val="2E74B5" w:themeColor="accent1" w:themeShade="BF"/>
          <w:sz w:val="24"/>
          <w:szCs w:val="24"/>
        </w:rPr>
      </w:pPr>
      <w:r w:rsidRPr="00E020E8">
        <w:rPr>
          <w:rFonts w:cs="Arial"/>
          <w:color w:val="2E74B5" w:themeColor="accent1" w:themeShade="BF"/>
          <w:sz w:val="24"/>
          <w:szCs w:val="24"/>
        </w:rPr>
        <w:t xml:space="preserve">Por ello, el artículo 154 de la ley ya mencionada, dispone que la respuesta a la solicitud deberá ser notificada al interesado en el menor tiempo posible, </w:t>
      </w:r>
      <w:r w:rsidRPr="00E020E8">
        <w:rPr>
          <w:rFonts w:cs="Arial"/>
          <w:color w:val="2E74B5" w:themeColor="accent1" w:themeShade="BF"/>
          <w:sz w:val="24"/>
          <w:szCs w:val="24"/>
          <w:u w:val="single"/>
        </w:rPr>
        <w:t>que no podrá exceder de diez días</w:t>
      </w:r>
      <w:r w:rsidRPr="00E020E8">
        <w:rPr>
          <w:rFonts w:cs="Arial"/>
          <w:color w:val="2E74B5" w:themeColor="accent1" w:themeShade="BF"/>
          <w:sz w:val="24"/>
          <w:szCs w:val="24"/>
        </w:rPr>
        <w:t>, contados a partir del día siguiente a la presentación de aquélla.</w:t>
      </w:r>
    </w:p>
    <w:p w:rsidR="007C6626" w:rsidRPr="00E020E8" w:rsidRDefault="007C6626" w:rsidP="00E020E8">
      <w:pPr>
        <w:pStyle w:val="corte4fondo"/>
        <w:spacing w:line="276" w:lineRule="auto"/>
        <w:rPr>
          <w:rFonts w:cs="Arial"/>
          <w:color w:val="2E74B5" w:themeColor="accent1" w:themeShade="BF"/>
          <w:sz w:val="24"/>
          <w:szCs w:val="24"/>
        </w:rPr>
      </w:pPr>
    </w:p>
    <w:p w:rsidR="007C6626" w:rsidRPr="00E020E8" w:rsidRDefault="007C6626" w:rsidP="00E020E8">
      <w:pPr>
        <w:pStyle w:val="corte4fondo"/>
        <w:spacing w:line="276" w:lineRule="auto"/>
        <w:rPr>
          <w:rFonts w:cs="Arial"/>
          <w:color w:val="2E74B5" w:themeColor="accent1" w:themeShade="BF"/>
          <w:sz w:val="24"/>
          <w:szCs w:val="24"/>
        </w:rPr>
      </w:pPr>
      <w:r w:rsidRPr="00E020E8">
        <w:rPr>
          <w:rFonts w:cs="Arial"/>
          <w:color w:val="2E74B5" w:themeColor="accent1" w:themeShade="BF"/>
          <w:sz w:val="24"/>
          <w:szCs w:val="24"/>
        </w:rPr>
        <w:t xml:space="preserve">Y que sólo excepcionalmente, ese el plazo podrá ampliarse hasta por diez días más, siempre y cuando existan razones fundadas y motivadas, con la condicionante de que deberán ser aprobadas por el Comité de Transparencia, </w:t>
      </w:r>
      <w:r w:rsidRPr="00E020E8">
        <w:rPr>
          <w:rFonts w:cs="Arial"/>
          <w:color w:val="2E74B5" w:themeColor="accent1" w:themeShade="BF"/>
          <w:sz w:val="24"/>
          <w:szCs w:val="24"/>
        </w:rPr>
        <w:lastRenderedPageBreak/>
        <w:t>mediante la emisión de una resolución que deberá notificarse al solicitante, antes de su vencimiento.</w:t>
      </w:r>
    </w:p>
    <w:p w:rsidR="007C6626" w:rsidRPr="00E020E8" w:rsidRDefault="007C6626" w:rsidP="00E020E8">
      <w:pPr>
        <w:pStyle w:val="corte4fondo"/>
        <w:spacing w:line="276" w:lineRule="auto"/>
        <w:rPr>
          <w:rFonts w:cs="Arial"/>
          <w:color w:val="2E74B5" w:themeColor="accent1" w:themeShade="BF"/>
          <w:sz w:val="24"/>
          <w:szCs w:val="24"/>
        </w:rPr>
      </w:pPr>
    </w:p>
    <w:p w:rsidR="007C6626" w:rsidRPr="00E020E8" w:rsidRDefault="007C6626" w:rsidP="00E020E8">
      <w:pPr>
        <w:pStyle w:val="corte4fondo"/>
        <w:spacing w:line="276" w:lineRule="auto"/>
        <w:rPr>
          <w:rFonts w:cs="Arial"/>
          <w:color w:val="2E74B5" w:themeColor="accent1" w:themeShade="BF"/>
          <w:sz w:val="24"/>
          <w:szCs w:val="24"/>
        </w:rPr>
      </w:pPr>
      <w:r w:rsidRPr="00E020E8">
        <w:rPr>
          <w:rFonts w:cs="Arial"/>
          <w:color w:val="2E74B5" w:themeColor="accent1" w:themeShade="BF"/>
          <w:sz w:val="24"/>
          <w:szCs w:val="24"/>
        </w:rPr>
        <w:t>Por tanto, de conformidad con el artículos 164  y 165, párrafo quinto</w:t>
      </w:r>
      <w:r w:rsidRPr="00E020E8">
        <w:rPr>
          <w:rStyle w:val="Refdenotaalpie"/>
          <w:rFonts w:cs="Arial"/>
          <w:color w:val="2E74B5" w:themeColor="accent1" w:themeShade="BF"/>
          <w:sz w:val="24"/>
          <w:szCs w:val="24"/>
        </w:rPr>
        <w:footnoteReference w:id="5"/>
      </w:r>
      <w:r w:rsidRPr="00E020E8">
        <w:rPr>
          <w:rFonts w:cs="Arial"/>
          <w:color w:val="2E74B5" w:themeColor="accent1" w:themeShade="BF"/>
          <w:sz w:val="24"/>
          <w:szCs w:val="24"/>
        </w:rPr>
        <w:t xml:space="preserve">, de la Ley de Transparencia si la autoridad no demuestra que otorgó la información que le fue solicitada o dio la respuesta en tiempo –dentro del plazo de diez días– la consecuencia es que esta Comisión Estatal de Garantía de Acceso a la Información Pública aplicará el principio de afirmativa ficta en el sentido de obligar a la autoridad responsable a entregar la información de manera gratuita en un plazo máximo de diez días hábiles tal y como lo establece dicho precepto. </w:t>
      </w:r>
    </w:p>
    <w:p w:rsidR="007C6626" w:rsidRPr="00E020E8" w:rsidRDefault="007C6626" w:rsidP="00E020E8">
      <w:pPr>
        <w:pStyle w:val="corte4fondo"/>
        <w:spacing w:line="276" w:lineRule="auto"/>
        <w:rPr>
          <w:rFonts w:cs="Arial"/>
          <w:color w:val="2E74B5" w:themeColor="accent1" w:themeShade="BF"/>
          <w:sz w:val="23"/>
          <w:szCs w:val="23"/>
        </w:rPr>
      </w:pPr>
    </w:p>
    <w:p w:rsidR="007C6626" w:rsidRPr="00E020E8" w:rsidRDefault="007C6626" w:rsidP="00E020E8">
      <w:pPr>
        <w:pStyle w:val="corte4fondo"/>
        <w:spacing w:line="276" w:lineRule="auto"/>
        <w:ind w:firstLine="0"/>
        <w:rPr>
          <w:rFonts w:cs="Arial"/>
          <w:color w:val="2E74B5" w:themeColor="accent1" w:themeShade="BF"/>
          <w:sz w:val="24"/>
          <w:szCs w:val="24"/>
        </w:rPr>
      </w:pPr>
      <w:r w:rsidRPr="00E020E8">
        <w:rPr>
          <w:rFonts w:cs="Arial"/>
          <w:color w:val="2E74B5" w:themeColor="accent1" w:themeShade="BF"/>
          <w:sz w:val="23"/>
          <w:szCs w:val="23"/>
        </w:rPr>
        <w:tab/>
      </w:r>
      <w:r w:rsidRPr="00E020E8">
        <w:rPr>
          <w:rFonts w:cs="Arial"/>
          <w:color w:val="2E74B5" w:themeColor="accent1" w:themeShade="BF"/>
          <w:sz w:val="24"/>
          <w:szCs w:val="24"/>
        </w:rPr>
        <w:t>Así pues, como se adelantó el agravio de que se trata es infundado ya que efectivamente</w:t>
      </w:r>
      <w:r w:rsidRPr="00E020E8">
        <w:rPr>
          <w:rFonts w:cs="Arial"/>
          <w:b/>
          <w:color w:val="2E74B5" w:themeColor="accent1" w:themeShade="BF"/>
          <w:sz w:val="24"/>
          <w:szCs w:val="24"/>
        </w:rPr>
        <w:t xml:space="preserve"> no hay omisión </w:t>
      </w:r>
      <w:r w:rsidRPr="00E020E8">
        <w:rPr>
          <w:rFonts w:cs="Arial"/>
          <w:color w:val="2E74B5" w:themeColor="accent1" w:themeShade="BF"/>
          <w:sz w:val="24"/>
          <w:szCs w:val="24"/>
        </w:rPr>
        <w:t xml:space="preserve">de la autoridad </w:t>
      </w:r>
      <w:r w:rsidRPr="00E020E8">
        <w:rPr>
          <w:rFonts w:cs="Arial"/>
          <w:b/>
          <w:color w:val="2E74B5" w:themeColor="accent1" w:themeShade="BF"/>
          <w:sz w:val="24"/>
          <w:szCs w:val="24"/>
        </w:rPr>
        <w:t>de dar respuesta a su solicitud</w:t>
      </w:r>
      <w:r w:rsidRPr="00E020E8">
        <w:rPr>
          <w:rFonts w:cs="Arial"/>
          <w:color w:val="2E74B5" w:themeColor="accent1" w:themeShade="BF"/>
          <w:sz w:val="24"/>
          <w:szCs w:val="24"/>
        </w:rPr>
        <w:t xml:space="preserve"> de acceso a la información pública </w:t>
      </w:r>
      <w:r w:rsidRPr="00E020E8">
        <w:rPr>
          <w:rFonts w:cs="Arial"/>
          <w:b/>
          <w:color w:val="2E74B5" w:themeColor="accent1" w:themeShade="BF"/>
          <w:sz w:val="24"/>
          <w:szCs w:val="24"/>
        </w:rPr>
        <w:t>dentro del plazo de los diez días</w:t>
      </w:r>
      <w:r w:rsidRPr="00E020E8">
        <w:rPr>
          <w:rFonts w:cs="Arial"/>
          <w:color w:val="2E74B5" w:themeColor="accent1" w:themeShade="BF"/>
          <w:sz w:val="24"/>
          <w:szCs w:val="24"/>
        </w:rPr>
        <w:t xml:space="preserve"> a que se refiere el artículo 154 de la Ley de Transparencia, como se expone a continuación.</w:t>
      </w:r>
    </w:p>
    <w:p w:rsidR="007C6626" w:rsidRPr="00E020E8" w:rsidRDefault="007C6626" w:rsidP="00E020E8">
      <w:pPr>
        <w:pStyle w:val="corte4fondo"/>
        <w:tabs>
          <w:tab w:val="left" w:pos="567"/>
        </w:tabs>
        <w:spacing w:line="276" w:lineRule="auto"/>
        <w:rPr>
          <w:rFonts w:cs="Arial"/>
          <w:color w:val="2E74B5" w:themeColor="accent1" w:themeShade="BF"/>
          <w:sz w:val="24"/>
          <w:szCs w:val="24"/>
        </w:rPr>
      </w:pPr>
    </w:p>
    <w:p w:rsidR="007C6626" w:rsidRPr="00E020E8" w:rsidRDefault="007C6626" w:rsidP="00E020E8">
      <w:pPr>
        <w:pStyle w:val="corte4fondo"/>
        <w:numPr>
          <w:ilvl w:val="0"/>
          <w:numId w:val="7"/>
        </w:numPr>
        <w:tabs>
          <w:tab w:val="left" w:pos="567"/>
        </w:tabs>
        <w:spacing w:line="276" w:lineRule="auto"/>
        <w:ind w:firstLine="0"/>
        <w:rPr>
          <w:rFonts w:cs="Arial"/>
          <w:color w:val="2E74B5" w:themeColor="accent1" w:themeShade="BF"/>
          <w:sz w:val="24"/>
          <w:szCs w:val="24"/>
        </w:rPr>
      </w:pPr>
      <w:r w:rsidRPr="00E020E8">
        <w:rPr>
          <w:rFonts w:cs="Arial"/>
          <w:color w:val="2E74B5" w:themeColor="accent1" w:themeShade="BF"/>
          <w:sz w:val="24"/>
          <w:szCs w:val="24"/>
        </w:rPr>
        <w:t xml:space="preserve"> El </w:t>
      </w:r>
      <w:r w:rsidR="001C3CFD" w:rsidRPr="00E020E8">
        <w:rPr>
          <w:rFonts w:cs="Arial"/>
          <w:color w:val="2E74B5" w:themeColor="accent1" w:themeShade="BF"/>
          <w:sz w:val="24"/>
          <w:szCs w:val="24"/>
        </w:rPr>
        <w:t xml:space="preserve">15 quince de agosto </w:t>
      </w:r>
      <w:r w:rsidRPr="00E020E8">
        <w:rPr>
          <w:rFonts w:cs="Arial"/>
          <w:color w:val="2E74B5" w:themeColor="accent1" w:themeShade="BF"/>
          <w:sz w:val="24"/>
          <w:szCs w:val="24"/>
        </w:rPr>
        <w:t>de 2018 dos mil dieciocho el solicitante de la información presentó su solicitud de acceso a la información pública ante el sujeto obligado</w:t>
      </w:r>
      <w:r w:rsidR="001C3CFD" w:rsidRPr="00E020E8">
        <w:rPr>
          <w:rFonts w:cs="Arial"/>
          <w:color w:val="2E74B5" w:themeColor="accent1" w:themeShade="BF"/>
          <w:sz w:val="24"/>
          <w:szCs w:val="24"/>
        </w:rPr>
        <w:t>.</w:t>
      </w:r>
    </w:p>
    <w:p w:rsidR="007C6626" w:rsidRPr="00E020E8" w:rsidRDefault="007C6626" w:rsidP="00E020E8">
      <w:pPr>
        <w:pStyle w:val="corte4fondo"/>
        <w:numPr>
          <w:ilvl w:val="0"/>
          <w:numId w:val="7"/>
        </w:numPr>
        <w:tabs>
          <w:tab w:val="left" w:pos="567"/>
        </w:tabs>
        <w:spacing w:line="276" w:lineRule="auto"/>
        <w:rPr>
          <w:rFonts w:cs="Arial"/>
          <w:color w:val="2E74B5" w:themeColor="accent1" w:themeShade="BF"/>
          <w:sz w:val="24"/>
          <w:szCs w:val="24"/>
        </w:rPr>
      </w:pPr>
      <w:r w:rsidRPr="00E020E8">
        <w:rPr>
          <w:rFonts w:cs="Arial"/>
          <w:color w:val="2E74B5" w:themeColor="accent1" w:themeShade="BF"/>
          <w:sz w:val="24"/>
          <w:szCs w:val="24"/>
        </w:rPr>
        <w:t>Ahora, el plazo para dar respuesta por parte del sujeto obligado era de diez días, contados a partir del día siguiente en que quedó formalmente presentada, ello de conformidad con los artículos 148 y 154</w:t>
      </w:r>
      <w:r w:rsidRPr="00E020E8">
        <w:rPr>
          <w:rStyle w:val="Refdenotaalpie"/>
          <w:rFonts w:cs="Arial"/>
          <w:color w:val="2E74B5" w:themeColor="accent1" w:themeShade="BF"/>
          <w:sz w:val="24"/>
          <w:szCs w:val="24"/>
        </w:rPr>
        <w:footnoteReference w:id="6"/>
      </w:r>
      <w:r w:rsidRPr="00E020E8">
        <w:rPr>
          <w:rFonts w:cs="Arial"/>
          <w:color w:val="2E74B5" w:themeColor="accent1" w:themeShade="BF"/>
          <w:sz w:val="24"/>
          <w:szCs w:val="24"/>
        </w:rPr>
        <w:t xml:space="preserve"> de la Ley de Transparencia.</w:t>
      </w:r>
    </w:p>
    <w:p w:rsidR="001C3CFD" w:rsidRPr="00E020E8" w:rsidRDefault="001C3CFD" w:rsidP="00E020E8">
      <w:pPr>
        <w:pStyle w:val="corte4fondo"/>
        <w:numPr>
          <w:ilvl w:val="0"/>
          <w:numId w:val="7"/>
        </w:numPr>
        <w:tabs>
          <w:tab w:val="left" w:pos="567"/>
        </w:tabs>
        <w:spacing w:line="276" w:lineRule="auto"/>
        <w:rPr>
          <w:rFonts w:cs="Arial"/>
          <w:color w:val="2E74B5" w:themeColor="accent1" w:themeShade="BF"/>
          <w:sz w:val="24"/>
          <w:szCs w:val="24"/>
        </w:rPr>
      </w:pPr>
      <w:r w:rsidRPr="00E020E8">
        <w:rPr>
          <w:rFonts w:cs="Arial"/>
          <w:color w:val="2E74B5" w:themeColor="accent1" w:themeShade="BF"/>
          <w:sz w:val="24"/>
          <w:szCs w:val="24"/>
        </w:rPr>
        <w:t xml:space="preserve">Por lo tanto, el plazo de los diez días comenzó el día 16 </w:t>
      </w:r>
      <w:r w:rsidR="00E6656F" w:rsidRPr="00E020E8">
        <w:rPr>
          <w:rFonts w:cs="Arial"/>
          <w:color w:val="2E74B5" w:themeColor="accent1" w:themeShade="BF"/>
          <w:sz w:val="24"/>
          <w:szCs w:val="24"/>
        </w:rPr>
        <w:t>dieciséis de agosto y</w:t>
      </w:r>
      <w:r w:rsidRPr="00E020E8">
        <w:rPr>
          <w:rFonts w:cs="Arial"/>
          <w:b/>
          <w:color w:val="2E74B5" w:themeColor="accent1" w:themeShade="BF"/>
          <w:sz w:val="24"/>
          <w:szCs w:val="24"/>
        </w:rPr>
        <w:t xml:space="preserve"> venció el día</w:t>
      </w:r>
      <w:r w:rsidR="00E020E8" w:rsidRPr="00E020E8">
        <w:rPr>
          <w:rFonts w:cs="Arial"/>
          <w:b/>
          <w:color w:val="2E74B5" w:themeColor="accent1" w:themeShade="BF"/>
          <w:sz w:val="24"/>
          <w:szCs w:val="24"/>
        </w:rPr>
        <w:t xml:space="preserve"> 12 doce de septiembre de la citada anualidad</w:t>
      </w:r>
      <w:r w:rsidRPr="00E020E8">
        <w:rPr>
          <w:rFonts w:cs="Arial"/>
          <w:color w:val="2E74B5" w:themeColor="accent1" w:themeShade="BF"/>
          <w:sz w:val="24"/>
          <w:szCs w:val="24"/>
        </w:rPr>
        <w:t xml:space="preserve">, sin contar los días sin contar los días </w:t>
      </w:r>
      <w:r w:rsidR="009E7A45" w:rsidRPr="00E020E8">
        <w:rPr>
          <w:rFonts w:cs="Arial"/>
          <w:color w:val="2E74B5" w:themeColor="accent1" w:themeShade="BF"/>
          <w:sz w:val="24"/>
          <w:szCs w:val="24"/>
        </w:rPr>
        <w:t xml:space="preserve">18 dieciocho, 19 diecinueve, 25 veinticinco, 26 veintiséis de agosto, 01 uno, 02 dos, 08 ocho, 09 nueve de septiembre </w:t>
      </w:r>
      <w:r w:rsidRPr="00E020E8">
        <w:rPr>
          <w:rFonts w:cs="Arial"/>
          <w:color w:val="2E74B5" w:themeColor="accent1" w:themeShade="BF"/>
          <w:sz w:val="24"/>
          <w:szCs w:val="24"/>
        </w:rPr>
        <w:t>por ser inhábiles</w:t>
      </w:r>
      <w:r w:rsidR="009E7A45" w:rsidRPr="00E020E8">
        <w:rPr>
          <w:rFonts w:cs="Arial"/>
          <w:color w:val="2E74B5" w:themeColor="accent1" w:themeShade="BF"/>
          <w:sz w:val="24"/>
          <w:szCs w:val="24"/>
        </w:rPr>
        <w:t>, ello tomando en cuenta que la autoridad hizo uso de la ampliación a que alude el artículo 154 de la ley de la materia</w:t>
      </w:r>
      <w:r w:rsidRPr="00E020E8">
        <w:rPr>
          <w:rFonts w:cs="Arial"/>
          <w:color w:val="2E74B5" w:themeColor="accent1" w:themeShade="BF"/>
          <w:sz w:val="24"/>
          <w:szCs w:val="24"/>
        </w:rPr>
        <w:t>.</w:t>
      </w:r>
    </w:p>
    <w:p w:rsidR="001C3CFD" w:rsidRPr="00E020E8" w:rsidRDefault="001C3CFD" w:rsidP="00E020E8">
      <w:pPr>
        <w:pStyle w:val="corte4fondo"/>
        <w:tabs>
          <w:tab w:val="left" w:pos="567"/>
        </w:tabs>
        <w:spacing w:line="276" w:lineRule="auto"/>
        <w:ind w:left="1429" w:firstLine="0"/>
        <w:rPr>
          <w:rFonts w:cs="Arial"/>
          <w:color w:val="2E74B5" w:themeColor="accent1" w:themeShade="BF"/>
          <w:sz w:val="24"/>
          <w:szCs w:val="24"/>
        </w:rPr>
      </w:pPr>
    </w:p>
    <w:p w:rsidR="007C6626" w:rsidRPr="00E020E8" w:rsidRDefault="007C6626" w:rsidP="00E020E8">
      <w:pPr>
        <w:pStyle w:val="corte4fondo"/>
        <w:spacing w:line="276" w:lineRule="auto"/>
        <w:ind w:firstLine="0"/>
        <w:rPr>
          <w:rFonts w:cs="Arial"/>
          <w:color w:val="2E74B5" w:themeColor="accent1" w:themeShade="BF"/>
          <w:sz w:val="24"/>
          <w:szCs w:val="24"/>
        </w:rPr>
      </w:pPr>
      <w:r w:rsidRPr="00E020E8">
        <w:rPr>
          <w:rFonts w:cs="Arial"/>
          <w:color w:val="2E74B5" w:themeColor="accent1" w:themeShade="BF"/>
          <w:sz w:val="24"/>
          <w:szCs w:val="24"/>
        </w:rPr>
        <w:lastRenderedPageBreak/>
        <w:tab/>
        <w:t xml:space="preserve">Es decir, que la fecha límite con la que contaba la autoridad para dar respuesta a la solicitud de acceso a la información pública desde que le fue presentada ésta, </w:t>
      </w:r>
      <w:r w:rsidRPr="00E020E8">
        <w:rPr>
          <w:rFonts w:cs="Arial"/>
          <w:b/>
          <w:color w:val="2E74B5" w:themeColor="accent1" w:themeShade="BF"/>
          <w:sz w:val="24"/>
          <w:szCs w:val="24"/>
        </w:rPr>
        <w:t xml:space="preserve">vencía el día </w:t>
      </w:r>
      <w:r w:rsidR="009E7A45" w:rsidRPr="00E020E8">
        <w:rPr>
          <w:rFonts w:cs="Arial"/>
          <w:b/>
          <w:color w:val="2E74B5" w:themeColor="accent1" w:themeShade="BF"/>
          <w:sz w:val="24"/>
          <w:szCs w:val="24"/>
        </w:rPr>
        <w:t xml:space="preserve">12 doce </w:t>
      </w:r>
      <w:r w:rsidRPr="00E020E8">
        <w:rPr>
          <w:rFonts w:cs="Arial"/>
          <w:b/>
          <w:color w:val="2E74B5" w:themeColor="accent1" w:themeShade="BF"/>
          <w:sz w:val="24"/>
          <w:szCs w:val="24"/>
        </w:rPr>
        <w:t>de septiembre</w:t>
      </w:r>
      <w:r w:rsidR="00E020E8" w:rsidRPr="00E020E8">
        <w:rPr>
          <w:rFonts w:cs="Arial"/>
          <w:b/>
          <w:color w:val="2E74B5" w:themeColor="accent1" w:themeShade="BF"/>
          <w:sz w:val="24"/>
          <w:szCs w:val="24"/>
        </w:rPr>
        <w:t xml:space="preserve"> de 2018 dos mil dieciocho</w:t>
      </w:r>
      <w:r w:rsidRPr="00E020E8">
        <w:rPr>
          <w:rFonts w:cs="Arial"/>
          <w:color w:val="2E74B5" w:themeColor="accent1" w:themeShade="BF"/>
          <w:sz w:val="24"/>
          <w:szCs w:val="24"/>
        </w:rPr>
        <w:t>.</w:t>
      </w:r>
    </w:p>
    <w:p w:rsidR="007C6626" w:rsidRPr="00E020E8" w:rsidRDefault="007C6626" w:rsidP="00E020E8">
      <w:pPr>
        <w:pStyle w:val="corte4fondo"/>
        <w:spacing w:line="276" w:lineRule="auto"/>
        <w:ind w:firstLine="0"/>
        <w:rPr>
          <w:rFonts w:cs="Arial"/>
          <w:color w:val="2E74B5" w:themeColor="accent1" w:themeShade="BF"/>
          <w:sz w:val="24"/>
          <w:szCs w:val="24"/>
          <w:u w:val="single"/>
        </w:rPr>
      </w:pPr>
    </w:p>
    <w:p w:rsidR="007C6626" w:rsidRPr="00E020E8" w:rsidRDefault="007C6626" w:rsidP="00E020E8">
      <w:pPr>
        <w:pStyle w:val="corte4fondo"/>
        <w:spacing w:line="276" w:lineRule="auto"/>
        <w:rPr>
          <w:rFonts w:cs="Arial"/>
          <w:color w:val="2E74B5" w:themeColor="accent1" w:themeShade="BF"/>
          <w:sz w:val="23"/>
          <w:szCs w:val="23"/>
        </w:rPr>
      </w:pPr>
      <w:r w:rsidRPr="00E020E8">
        <w:rPr>
          <w:rFonts w:cs="Arial"/>
          <w:color w:val="2E74B5" w:themeColor="accent1" w:themeShade="BF"/>
          <w:sz w:val="24"/>
          <w:szCs w:val="24"/>
        </w:rPr>
        <w:t xml:space="preserve">En la especie, está demostrado que el día </w:t>
      </w:r>
      <w:r w:rsidR="009E7A45" w:rsidRPr="00E020E8">
        <w:rPr>
          <w:rFonts w:cs="Arial"/>
          <w:color w:val="2E74B5" w:themeColor="accent1" w:themeShade="BF"/>
          <w:sz w:val="24"/>
          <w:szCs w:val="24"/>
        </w:rPr>
        <w:t xml:space="preserve">12 doce </w:t>
      </w:r>
      <w:r w:rsidRPr="00E020E8">
        <w:rPr>
          <w:rFonts w:cs="Arial"/>
          <w:color w:val="2E74B5" w:themeColor="accent1" w:themeShade="BF"/>
          <w:sz w:val="24"/>
          <w:szCs w:val="24"/>
        </w:rPr>
        <w:t xml:space="preserve">de septiembre de 2018 dos mil dieciocho el solicitante de la información fue notificado de la respuesta –que incluso es la que impugna por este medio–, esto es, respuesta que fue notificada </w:t>
      </w:r>
      <w:r w:rsidRPr="00E020E8">
        <w:rPr>
          <w:rFonts w:cs="Arial"/>
          <w:b/>
          <w:color w:val="2E74B5" w:themeColor="accent1" w:themeShade="BF"/>
          <w:sz w:val="24"/>
          <w:szCs w:val="24"/>
        </w:rPr>
        <w:t xml:space="preserve">dentro del plazo de los diez días </w:t>
      </w:r>
      <w:r w:rsidR="009E7A45" w:rsidRPr="00E020E8">
        <w:rPr>
          <w:rFonts w:cs="Arial"/>
          <w:b/>
          <w:color w:val="2E74B5" w:themeColor="accent1" w:themeShade="BF"/>
          <w:sz w:val="24"/>
          <w:szCs w:val="24"/>
        </w:rPr>
        <w:t xml:space="preserve">más diez (ampliación) </w:t>
      </w:r>
      <w:r w:rsidRPr="00E020E8">
        <w:rPr>
          <w:rFonts w:cs="Arial"/>
          <w:b/>
          <w:color w:val="2E74B5" w:themeColor="accent1" w:themeShade="BF"/>
          <w:sz w:val="24"/>
          <w:szCs w:val="24"/>
        </w:rPr>
        <w:t>que la autoridad tenía para hacerlo</w:t>
      </w:r>
      <w:r w:rsidRPr="00E020E8">
        <w:rPr>
          <w:rFonts w:cs="Arial"/>
          <w:color w:val="2E74B5" w:themeColor="accent1" w:themeShade="BF"/>
          <w:sz w:val="24"/>
          <w:szCs w:val="24"/>
        </w:rPr>
        <w:t xml:space="preserve">, ya que incluso el sujeto obligado notificó la respuesta </w:t>
      </w:r>
      <w:r w:rsidR="009E7A45" w:rsidRPr="00E020E8">
        <w:rPr>
          <w:rFonts w:cs="Arial"/>
          <w:color w:val="2E74B5" w:themeColor="accent1" w:themeShade="BF"/>
          <w:sz w:val="24"/>
          <w:szCs w:val="24"/>
        </w:rPr>
        <w:t xml:space="preserve">en el último (día 20 veinte) </w:t>
      </w:r>
      <w:r w:rsidRPr="00E020E8">
        <w:rPr>
          <w:rFonts w:cs="Arial"/>
          <w:color w:val="2E74B5" w:themeColor="accent1" w:themeShade="BF"/>
          <w:sz w:val="24"/>
          <w:szCs w:val="24"/>
        </w:rPr>
        <w:t>día hábil de los diez</w:t>
      </w:r>
      <w:r w:rsidR="009E7A45" w:rsidRPr="00E020E8">
        <w:rPr>
          <w:rFonts w:cs="Arial"/>
          <w:color w:val="2E74B5" w:themeColor="accent1" w:themeShade="BF"/>
          <w:sz w:val="24"/>
          <w:szCs w:val="24"/>
        </w:rPr>
        <w:t xml:space="preserve"> más diez </w:t>
      </w:r>
      <w:r w:rsidRPr="00E020E8">
        <w:rPr>
          <w:rFonts w:cs="Arial"/>
          <w:color w:val="2E74B5" w:themeColor="accent1" w:themeShade="BF"/>
          <w:sz w:val="24"/>
          <w:szCs w:val="24"/>
        </w:rPr>
        <w:t xml:space="preserve"> que tenía para hacerlo, tal y como se estableció en el resultando segundo de la presente resolución</w:t>
      </w:r>
      <w:r w:rsidRPr="00E020E8">
        <w:rPr>
          <w:rFonts w:cs="Arial"/>
          <w:color w:val="2E74B5" w:themeColor="accent1" w:themeShade="BF"/>
          <w:sz w:val="23"/>
          <w:szCs w:val="23"/>
        </w:rPr>
        <w:t>.</w:t>
      </w:r>
    </w:p>
    <w:p w:rsidR="007C6626" w:rsidRPr="00E020E8" w:rsidRDefault="007C6626" w:rsidP="00E020E8">
      <w:pPr>
        <w:pStyle w:val="corte4fondo"/>
        <w:spacing w:line="276" w:lineRule="auto"/>
        <w:rPr>
          <w:rFonts w:cs="Arial"/>
          <w:color w:val="2E74B5" w:themeColor="accent1" w:themeShade="BF"/>
          <w:sz w:val="23"/>
          <w:szCs w:val="23"/>
        </w:rPr>
      </w:pPr>
    </w:p>
    <w:p w:rsidR="007C6626" w:rsidRPr="00E020E8" w:rsidRDefault="007C6626" w:rsidP="00E020E8">
      <w:pPr>
        <w:pStyle w:val="corte4fondo"/>
        <w:spacing w:line="276" w:lineRule="auto"/>
        <w:ind w:firstLine="708"/>
        <w:rPr>
          <w:rFonts w:cs="Arial"/>
          <w:color w:val="2E74B5" w:themeColor="accent1" w:themeShade="BF"/>
          <w:sz w:val="24"/>
          <w:szCs w:val="24"/>
        </w:rPr>
      </w:pPr>
      <w:r w:rsidRPr="00E020E8">
        <w:rPr>
          <w:rFonts w:cs="Arial"/>
          <w:color w:val="2E74B5" w:themeColor="accent1" w:themeShade="BF"/>
          <w:sz w:val="24"/>
          <w:szCs w:val="24"/>
        </w:rPr>
        <w:t xml:space="preserve">Es por ello que contrario a lo alegado por lo recurrente en el presente asunto la autoridad cumplió con la obligación de dar respuesta en tiempo y, por tal razón el agravio donde el recurrente reclama el principio de afirmativa ficta es infundado. </w:t>
      </w:r>
    </w:p>
    <w:p w:rsidR="006E30D6" w:rsidRPr="00E020E8" w:rsidRDefault="00AB6A5E" w:rsidP="00E020E8">
      <w:pPr>
        <w:pStyle w:val="corte4fondo"/>
        <w:tabs>
          <w:tab w:val="left" w:pos="567"/>
        </w:tabs>
        <w:spacing w:line="276" w:lineRule="auto"/>
        <w:rPr>
          <w:rFonts w:cs="Arial"/>
          <w:i/>
          <w:color w:val="2E74B5" w:themeColor="accent1" w:themeShade="BF"/>
          <w:sz w:val="20"/>
        </w:rPr>
      </w:pPr>
      <w:r w:rsidRPr="00E020E8">
        <w:rPr>
          <w:rFonts w:cs="Arial"/>
          <w:i/>
          <w:color w:val="2E74B5" w:themeColor="accent1" w:themeShade="BF"/>
          <w:sz w:val="20"/>
        </w:rPr>
        <w:t xml:space="preserve">  </w:t>
      </w:r>
    </w:p>
    <w:p w:rsidR="006E30D6" w:rsidRPr="00E020E8" w:rsidRDefault="006E30D6" w:rsidP="00E020E8">
      <w:pPr>
        <w:pStyle w:val="corte4fondo"/>
        <w:spacing w:line="276" w:lineRule="auto"/>
        <w:ind w:firstLine="708"/>
        <w:rPr>
          <w:rFonts w:cs="Arial"/>
          <w:b/>
          <w:color w:val="2E74B5" w:themeColor="accent1" w:themeShade="BF"/>
          <w:sz w:val="24"/>
          <w:szCs w:val="24"/>
        </w:rPr>
      </w:pPr>
      <w:r w:rsidRPr="00E020E8">
        <w:rPr>
          <w:rFonts w:cs="Arial"/>
          <w:b/>
          <w:color w:val="2E74B5" w:themeColor="accent1" w:themeShade="BF"/>
          <w:sz w:val="24"/>
          <w:szCs w:val="24"/>
        </w:rPr>
        <w:t>7.1.</w:t>
      </w:r>
      <w:r w:rsidR="009A21BA" w:rsidRPr="00E020E8">
        <w:rPr>
          <w:rFonts w:cs="Arial"/>
          <w:b/>
          <w:color w:val="2E74B5" w:themeColor="accent1" w:themeShade="BF"/>
          <w:sz w:val="24"/>
          <w:szCs w:val="24"/>
        </w:rPr>
        <w:t>2</w:t>
      </w:r>
      <w:r w:rsidRPr="00E020E8">
        <w:rPr>
          <w:rFonts w:cs="Arial"/>
          <w:b/>
          <w:color w:val="2E74B5" w:themeColor="accent1" w:themeShade="BF"/>
          <w:sz w:val="24"/>
          <w:szCs w:val="24"/>
        </w:rPr>
        <w:t xml:space="preserve"> Agravio fundado.</w:t>
      </w:r>
      <w:r w:rsidRPr="00E020E8">
        <w:rPr>
          <w:rFonts w:cs="Arial"/>
          <w:b/>
          <w:color w:val="2E74B5" w:themeColor="accent1" w:themeShade="BF"/>
          <w:sz w:val="24"/>
          <w:szCs w:val="24"/>
        </w:rPr>
        <w:tab/>
      </w:r>
    </w:p>
    <w:p w:rsidR="00651FC0" w:rsidRPr="00E020E8" w:rsidRDefault="00651FC0" w:rsidP="00E020E8">
      <w:pPr>
        <w:pStyle w:val="corte4fondo"/>
        <w:spacing w:line="276" w:lineRule="auto"/>
        <w:ind w:firstLine="0"/>
        <w:rPr>
          <w:rFonts w:cs="Arial"/>
          <w:color w:val="2E74B5" w:themeColor="accent1" w:themeShade="BF"/>
          <w:sz w:val="24"/>
          <w:szCs w:val="24"/>
        </w:rPr>
      </w:pPr>
    </w:p>
    <w:p w:rsidR="00651FC0" w:rsidRPr="00E020E8" w:rsidRDefault="00651FC0" w:rsidP="00E020E8">
      <w:pPr>
        <w:pStyle w:val="corte4fondo"/>
        <w:spacing w:line="276" w:lineRule="auto"/>
        <w:ind w:firstLine="0"/>
        <w:rPr>
          <w:rFonts w:cs="Arial"/>
          <w:color w:val="2E74B5" w:themeColor="accent1" w:themeShade="BF"/>
          <w:sz w:val="24"/>
          <w:szCs w:val="24"/>
        </w:rPr>
      </w:pPr>
      <w:r w:rsidRPr="00E020E8">
        <w:rPr>
          <w:rFonts w:cs="Arial"/>
          <w:color w:val="2E74B5" w:themeColor="accent1" w:themeShade="BF"/>
          <w:sz w:val="24"/>
          <w:szCs w:val="24"/>
        </w:rPr>
        <w:tab/>
        <w:t>En el caso concreto este Órgano Colegiado se abocará a analizar la respuesta proporcionada por el sujeto obligado, con el objeto de determinar si la misma se encuentra fundada y motivada de manera suficiente, o si bien se configura alguna negativa de acceso a la información requerida por el hoy recurrente a través de la solicitud de información de folio 00600518 presentada al sujeto obligado el 15 quince de agosto de 2018 dos mil dieciocho.</w:t>
      </w:r>
    </w:p>
    <w:p w:rsidR="00651FC0" w:rsidRPr="00E020E8" w:rsidRDefault="00651FC0" w:rsidP="00E020E8">
      <w:pPr>
        <w:autoSpaceDE w:val="0"/>
        <w:autoSpaceDN w:val="0"/>
        <w:adjustRightInd w:val="0"/>
        <w:spacing w:after="0"/>
        <w:jc w:val="both"/>
        <w:rPr>
          <w:rFonts w:ascii="Arial" w:hAnsi="Arial" w:cs="Arial"/>
          <w:color w:val="2E74B5" w:themeColor="accent1" w:themeShade="BF"/>
          <w:sz w:val="24"/>
          <w:szCs w:val="24"/>
        </w:rPr>
      </w:pPr>
    </w:p>
    <w:p w:rsidR="006E30D6" w:rsidRPr="00E020E8" w:rsidRDefault="00115A23" w:rsidP="00E020E8">
      <w:pPr>
        <w:pStyle w:val="Encabezado"/>
        <w:spacing w:line="276" w:lineRule="auto"/>
        <w:jc w:val="both"/>
        <w:rPr>
          <w:rFonts w:ascii="Arial" w:hAnsi="Arial" w:cs="Arial"/>
          <w:color w:val="2E74B5" w:themeColor="accent1" w:themeShade="BF"/>
          <w:sz w:val="20"/>
          <w:szCs w:val="20"/>
        </w:rPr>
      </w:pPr>
      <w:r w:rsidRPr="00E020E8">
        <w:rPr>
          <w:rFonts w:ascii="Arial" w:hAnsi="Arial" w:cs="Arial"/>
          <w:color w:val="2E74B5" w:themeColor="accent1" w:themeShade="BF"/>
          <w:sz w:val="24"/>
          <w:szCs w:val="24"/>
        </w:rPr>
        <w:tab/>
      </w:r>
      <w:r w:rsidR="003950FC" w:rsidRPr="00E020E8">
        <w:rPr>
          <w:rFonts w:ascii="Arial" w:hAnsi="Arial" w:cs="Arial"/>
          <w:color w:val="2E74B5" w:themeColor="accent1" w:themeShade="BF"/>
          <w:sz w:val="24"/>
          <w:szCs w:val="24"/>
        </w:rPr>
        <w:t xml:space="preserve">          </w:t>
      </w:r>
      <w:r w:rsidR="00651FC0" w:rsidRPr="00E020E8">
        <w:rPr>
          <w:rFonts w:ascii="Arial" w:hAnsi="Arial" w:cs="Arial"/>
          <w:color w:val="2E74B5" w:themeColor="accent1" w:themeShade="BF"/>
          <w:sz w:val="24"/>
          <w:szCs w:val="24"/>
        </w:rPr>
        <w:t>Por lo anterior, en la respuesta emitida</w:t>
      </w:r>
      <w:r w:rsidRPr="00E020E8">
        <w:rPr>
          <w:rFonts w:ascii="Arial" w:hAnsi="Arial" w:cs="Arial"/>
          <w:color w:val="2E74B5" w:themeColor="accent1" w:themeShade="BF"/>
          <w:sz w:val="24"/>
          <w:szCs w:val="24"/>
        </w:rPr>
        <w:t xml:space="preserve"> por el Jefe de la Unidad de Transparencia de la Oficialía Mayor del Poder Ejecutivo quien dentro del marco de sus atribuciones contestó al peticionario, se advierte que únicamente señaló que la información solicitada es considerada como Obligaciones Comunes a todos los sujetos obligados, de conformidad con el artículo 84 fracción X, y para tal efecto manifestó  que puede ser consultado de manera electrónica a través del portal de la CEGAIP, mediante el siguiente hipervínculo: </w:t>
      </w:r>
      <w:r w:rsidRPr="00E020E8">
        <w:rPr>
          <w:rFonts w:ascii="Arial" w:hAnsi="Arial" w:cs="Arial"/>
          <w:color w:val="2E74B5" w:themeColor="accent1" w:themeShade="BF"/>
          <w:sz w:val="20"/>
          <w:szCs w:val="20"/>
        </w:rPr>
        <w:t>http://www.cegaipslp.org.mx/webcegaip2018N2.nsf/nombre_de_la_vista/6381413D687099F686258304007D9AD8/$File/10.+LTAIPSLP84X+-+AGO+2018.xlsx</w:t>
      </w:r>
      <w:r w:rsidR="003950FC" w:rsidRPr="00E020E8">
        <w:rPr>
          <w:rFonts w:ascii="Arial" w:hAnsi="Arial" w:cs="Arial"/>
          <w:color w:val="2E74B5" w:themeColor="accent1" w:themeShade="BF"/>
          <w:sz w:val="20"/>
          <w:szCs w:val="20"/>
        </w:rPr>
        <w:t>.</w:t>
      </w:r>
    </w:p>
    <w:p w:rsidR="006E30D6" w:rsidRPr="00E020E8" w:rsidRDefault="006E30D6" w:rsidP="00E020E8">
      <w:pPr>
        <w:pStyle w:val="corte4fondo"/>
        <w:spacing w:line="276" w:lineRule="auto"/>
        <w:ind w:firstLine="0"/>
        <w:rPr>
          <w:rFonts w:cs="Arial"/>
          <w:color w:val="2E74B5" w:themeColor="accent1" w:themeShade="BF"/>
          <w:sz w:val="24"/>
          <w:szCs w:val="24"/>
        </w:rPr>
      </w:pPr>
    </w:p>
    <w:p w:rsidR="003950FC" w:rsidRPr="00E020E8" w:rsidRDefault="0052415F" w:rsidP="00E020E8">
      <w:pPr>
        <w:pStyle w:val="corte4fondo"/>
        <w:spacing w:line="276" w:lineRule="auto"/>
        <w:ind w:firstLine="708"/>
        <w:rPr>
          <w:rFonts w:cs="Arial"/>
          <w:color w:val="4F81BD"/>
          <w:sz w:val="24"/>
          <w:szCs w:val="24"/>
        </w:rPr>
      </w:pPr>
      <w:r w:rsidRPr="00E020E8">
        <w:rPr>
          <w:rFonts w:cs="Arial"/>
          <w:color w:val="4F81BD"/>
          <w:sz w:val="24"/>
          <w:szCs w:val="24"/>
        </w:rPr>
        <w:t xml:space="preserve">De ahí, que resulta un hecho notorio que la respuesta proporcionada no corresponde con lo solicitado, esto es que la información comprendida en el artículo arriba señalado establece lo siguiente: </w:t>
      </w:r>
    </w:p>
    <w:p w:rsidR="0052415F" w:rsidRPr="00E020E8" w:rsidRDefault="0052415F" w:rsidP="00E020E8">
      <w:pPr>
        <w:pStyle w:val="corte4fondo"/>
        <w:spacing w:line="276" w:lineRule="auto"/>
        <w:rPr>
          <w:rFonts w:cs="Arial"/>
          <w:i/>
          <w:color w:val="4F81BD"/>
          <w:sz w:val="20"/>
        </w:rPr>
      </w:pPr>
    </w:p>
    <w:p w:rsidR="0052415F" w:rsidRPr="00E020E8" w:rsidRDefault="0052415F" w:rsidP="00E020E8">
      <w:pPr>
        <w:pStyle w:val="corte4fondo"/>
        <w:spacing w:line="276" w:lineRule="auto"/>
        <w:rPr>
          <w:rFonts w:cs="Arial"/>
          <w:i/>
          <w:color w:val="4F81BD"/>
          <w:sz w:val="20"/>
        </w:rPr>
      </w:pPr>
      <w:r w:rsidRPr="00E020E8">
        <w:rPr>
          <w:rFonts w:cs="Arial"/>
          <w:i/>
          <w:color w:val="4F81BD"/>
          <w:sz w:val="20"/>
        </w:rPr>
        <w:t xml:space="preserve">“…ARTÍCULO 84.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 </w:t>
      </w:r>
    </w:p>
    <w:p w:rsidR="0052415F" w:rsidRPr="00E020E8" w:rsidRDefault="0052415F" w:rsidP="00E020E8">
      <w:pPr>
        <w:pStyle w:val="corte4fondo"/>
        <w:spacing w:line="276" w:lineRule="auto"/>
        <w:ind w:firstLine="0"/>
        <w:rPr>
          <w:rFonts w:cs="Arial"/>
          <w:i/>
          <w:color w:val="4F81BD"/>
          <w:sz w:val="20"/>
        </w:rPr>
      </w:pPr>
      <w:r w:rsidRPr="00E020E8">
        <w:rPr>
          <w:rFonts w:cs="Arial"/>
          <w:i/>
          <w:color w:val="4F81BD"/>
          <w:sz w:val="20"/>
        </w:rPr>
        <w:t>[…]</w:t>
      </w:r>
    </w:p>
    <w:p w:rsidR="0052415F" w:rsidRPr="00E020E8" w:rsidRDefault="0052415F" w:rsidP="00E020E8">
      <w:pPr>
        <w:pStyle w:val="corte4fondo"/>
        <w:spacing w:line="276" w:lineRule="auto"/>
        <w:rPr>
          <w:rFonts w:cs="Arial"/>
          <w:color w:val="4F81BD"/>
          <w:sz w:val="24"/>
          <w:szCs w:val="24"/>
        </w:rPr>
      </w:pPr>
      <w:r w:rsidRPr="00E020E8">
        <w:rPr>
          <w:rFonts w:cs="Arial"/>
          <w:i/>
          <w:color w:val="4F81BD"/>
          <w:sz w:val="20"/>
        </w:rPr>
        <w:t xml:space="preserve">X. El directorio de todos los servidores públicos, independientemente de que brinden atención al público; manejen o apliquen recursos públicos; realicen actos de autoridad o presten servicios profesionales bajo el régimen de confianza u honorarios y personal de base. El directorio deberá incluir, al menos el nombre, cargo o nombramiento asignado, nivel del puesto en la estructura orgánica, fecha de alta en el cargo, número telefónico, domicilio para recibir correspondencia y dirección de correo electrónico oficiales, y versión pública de su currículum vitae que deberá </w:t>
      </w:r>
      <w:r w:rsidRPr="00E020E8">
        <w:rPr>
          <w:rFonts w:cs="Arial"/>
          <w:i/>
          <w:color w:val="4F81BD"/>
          <w:sz w:val="20"/>
        </w:rPr>
        <w:lastRenderedPageBreak/>
        <w:t xml:space="preserve">contener, la copia correspondiente al título profesional y cédula que acredite su ultimo grado de </w:t>
      </w:r>
      <w:proofErr w:type="gramStart"/>
      <w:r w:rsidRPr="00E020E8">
        <w:rPr>
          <w:rFonts w:cs="Arial"/>
          <w:i/>
          <w:color w:val="4F81BD"/>
          <w:sz w:val="20"/>
        </w:rPr>
        <w:t>estudios;</w:t>
      </w:r>
      <w:r w:rsidRPr="00E020E8">
        <w:rPr>
          <w:rFonts w:cs="Arial"/>
          <w:color w:val="4F81BD"/>
          <w:sz w:val="24"/>
          <w:szCs w:val="24"/>
        </w:rPr>
        <w:t>…</w:t>
      </w:r>
      <w:proofErr w:type="gramEnd"/>
      <w:r w:rsidRPr="00E020E8">
        <w:rPr>
          <w:rFonts w:cs="Arial"/>
          <w:color w:val="4F81BD"/>
          <w:sz w:val="24"/>
          <w:szCs w:val="24"/>
        </w:rPr>
        <w:t>”</w:t>
      </w:r>
    </w:p>
    <w:p w:rsidR="000217F7" w:rsidRPr="00E020E8" w:rsidRDefault="000217F7" w:rsidP="00E020E8">
      <w:pPr>
        <w:pStyle w:val="Encabezado"/>
        <w:spacing w:line="276" w:lineRule="auto"/>
        <w:jc w:val="both"/>
        <w:rPr>
          <w:rFonts w:ascii="Arial" w:hAnsi="Arial" w:cs="Arial"/>
          <w:color w:val="2E74B5" w:themeColor="accent1" w:themeShade="BF"/>
          <w:sz w:val="24"/>
          <w:szCs w:val="24"/>
        </w:rPr>
      </w:pPr>
      <w:r w:rsidRPr="00E020E8">
        <w:rPr>
          <w:rFonts w:ascii="Arial" w:hAnsi="Arial" w:cs="Arial"/>
          <w:color w:val="2E74B5" w:themeColor="accent1" w:themeShade="BF"/>
          <w:sz w:val="24"/>
          <w:szCs w:val="24"/>
        </w:rPr>
        <w:t>Luego, del análisis al informe rendido ante esta Comisión por el sujeto obligado este manifestó en el punto identificado con el número 2 dos lo siguiente:</w:t>
      </w:r>
    </w:p>
    <w:p w:rsidR="000217F7" w:rsidRPr="00E020E8" w:rsidRDefault="000217F7" w:rsidP="00E020E8">
      <w:pPr>
        <w:pStyle w:val="Encabezado"/>
        <w:spacing w:line="276" w:lineRule="auto"/>
        <w:jc w:val="both"/>
        <w:rPr>
          <w:rFonts w:ascii="Arial" w:hAnsi="Arial" w:cs="Arial"/>
          <w:color w:val="2E74B5" w:themeColor="accent1" w:themeShade="BF"/>
          <w:sz w:val="24"/>
          <w:szCs w:val="24"/>
        </w:rPr>
      </w:pPr>
    </w:p>
    <w:p w:rsidR="000217F7" w:rsidRPr="00E020E8" w:rsidRDefault="004A6578" w:rsidP="00E020E8">
      <w:pPr>
        <w:pStyle w:val="Encabezado"/>
        <w:spacing w:line="276" w:lineRule="auto"/>
        <w:jc w:val="both"/>
        <w:rPr>
          <w:rFonts w:ascii="Arial" w:hAnsi="Arial" w:cs="Arial"/>
          <w:i/>
          <w:color w:val="2E74B5" w:themeColor="accent1" w:themeShade="BF"/>
          <w:sz w:val="20"/>
          <w:szCs w:val="20"/>
        </w:rPr>
      </w:pPr>
      <w:r w:rsidRPr="00E020E8">
        <w:rPr>
          <w:rFonts w:ascii="Arial" w:hAnsi="Arial" w:cs="Arial"/>
          <w:color w:val="2E74B5" w:themeColor="accent1" w:themeShade="BF"/>
          <w:sz w:val="24"/>
          <w:szCs w:val="24"/>
        </w:rPr>
        <w:tab/>
      </w:r>
      <w:r w:rsidRPr="00E020E8">
        <w:rPr>
          <w:rFonts w:ascii="Arial" w:hAnsi="Arial" w:cs="Arial"/>
          <w:i/>
          <w:color w:val="2E74B5" w:themeColor="accent1" w:themeShade="BF"/>
          <w:sz w:val="20"/>
          <w:szCs w:val="20"/>
        </w:rPr>
        <w:t xml:space="preserve">         </w:t>
      </w:r>
      <w:r w:rsidR="000217F7" w:rsidRPr="00E020E8">
        <w:rPr>
          <w:rFonts w:ascii="Arial" w:hAnsi="Arial" w:cs="Arial"/>
          <w:i/>
          <w:color w:val="2E74B5" w:themeColor="accent1" w:themeShade="BF"/>
          <w:sz w:val="20"/>
          <w:szCs w:val="20"/>
        </w:rPr>
        <w:t>“</w:t>
      </w:r>
      <w:r w:rsidRPr="00E020E8">
        <w:rPr>
          <w:rFonts w:ascii="Arial" w:hAnsi="Arial" w:cs="Arial"/>
          <w:i/>
          <w:color w:val="2E74B5" w:themeColor="accent1" w:themeShade="BF"/>
          <w:sz w:val="20"/>
          <w:szCs w:val="20"/>
        </w:rPr>
        <w:t>…</w:t>
      </w:r>
      <w:r w:rsidR="000217F7" w:rsidRPr="00E020E8">
        <w:rPr>
          <w:rFonts w:ascii="Arial" w:hAnsi="Arial" w:cs="Arial"/>
          <w:i/>
          <w:color w:val="2E74B5" w:themeColor="accent1" w:themeShade="BF"/>
          <w:sz w:val="20"/>
          <w:szCs w:val="20"/>
        </w:rPr>
        <w:t>2.- como consta en autos, por un error involuntario se envía una respuesta diversa a la requerida por el peticionario, por lo que esta unidad de Ponencia al Percatarse de lo sucedido al momento de recibir la radicación correspondiente al recurso de revisión, invocado por el recurrente, realiza las gestiones necesarias para que el área que contiene la información emita la correspondiente respuesta, misma que será enviada al peticionario en cuanto esta U</w:t>
      </w:r>
      <w:r w:rsidRPr="00E020E8">
        <w:rPr>
          <w:rFonts w:ascii="Arial" w:hAnsi="Arial" w:cs="Arial"/>
          <w:i/>
          <w:color w:val="2E74B5" w:themeColor="accent1" w:themeShade="BF"/>
          <w:sz w:val="20"/>
          <w:szCs w:val="20"/>
        </w:rPr>
        <w:t>nidad de Transparencia la recibo, por lo que en un oficio en alcance del presente se enviara lo correspondiente al Peticionario y a este Órgano Garante…”</w:t>
      </w:r>
    </w:p>
    <w:p w:rsidR="0052415F" w:rsidRPr="00E020E8" w:rsidRDefault="0052415F" w:rsidP="00E020E8">
      <w:pPr>
        <w:pStyle w:val="corte4fondo"/>
        <w:spacing w:line="276" w:lineRule="auto"/>
        <w:ind w:firstLine="0"/>
        <w:rPr>
          <w:rFonts w:cs="Arial"/>
          <w:color w:val="2E74B5" w:themeColor="accent1" w:themeShade="BF"/>
          <w:sz w:val="24"/>
          <w:szCs w:val="24"/>
        </w:rPr>
      </w:pPr>
    </w:p>
    <w:p w:rsidR="004A6578" w:rsidRPr="00E020E8" w:rsidRDefault="004A6578" w:rsidP="00E020E8">
      <w:pPr>
        <w:pStyle w:val="corte4fondo"/>
        <w:spacing w:line="276" w:lineRule="auto"/>
        <w:ind w:firstLine="708"/>
        <w:rPr>
          <w:rFonts w:cs="Arial"/>
          <w:color w:val="2E74B5" w:themeColor="accent1" w:themeShade="BF"/>
          <w:sz w:val="24"/>
          <w:szCs w:val="24"/>
        </w:rPr>
      </w:pPr>
      <w:r w:rsidRPr="00E020E8">
        <w:rPr>
          <w:rFonts w:cs="Arial"/>
          <w:color w:val="2E74B5" w:themeColor="accent1" w:themeShade="BF"/>
          <w:sz w:val="24"/>
          <w:szCs w:val="24"/>
        </w:rPr>
        <w:t xml:space="preserve">Por lo anteriormente expuesto, de una revisión a las constancias remitidas por la autoridad esta Unidad de Ponencia advierte que de autos no se advierte una nueva respuesta notificada al hoy recurrente ni tampoco un oficio en alcance presentado ante esta Comisión. </w:t>
      </w:r>
    </w:p>
    <w:p w:rsidR="00CA00E7" w:rsidRPr="00E020E8" w:rsidRDefault="00CA00E7" w:rsidP="00E020E8">
      <w:pPr>
        <w:pStyle w:val="corte4fondo"/>
        <w:spacing w:line="276" w:lineRule="auto"/>
        <w:ind w:firstLine="0"/>
        <w:rPr>
          <w:rFonts w:cs="Arial"/>
          <w:sz w:val="24"/>
          <w:szCs w:val="24"/>
        </w:rPr>
      </w:pPr>
    </w:p>
    <w:p w:rsidR="00CA00E7" w:rsidRPr="00E020E8" w:rsidRDefault="00CA00E7" w:rsidP="00E020E8">
      <w:pPr>
        <w:pStyle w:val="corte4fondo"/>
        <w:spacing w:line="276" w:lineRule="auto"/>
        <w:ind w:firstLine="0"/>
        <w:rPr>
          <w:rFonts w:cs="Arial"/>
          <w:color w:val="2E74B5" w:themeColor="accent1" w:themeShade="BF"/>
          <w:sz w:val="24"/>
          <w:szCs w:val="24"/>
        </w:rPr>
      </w:pPr>
      <w:r w:rsidRPr="00E020E8">
        <w:rPr>
          <w:rFonts w:cs="Arial"/>
          <w:sz w:val="24"/>
          <w:szCs w:val="24"/>
        </w:rPr>
        <w:tab/>
      </w:r>
      <w:r w:rsidRPr="00E020E8">
        <w:rPr>
          <w:rFonts w:cs="Arial"/>
          <w:color w:val="2E74B5" w:themeColor="accent1" w:themeShade="BF"/>
          <w:sz w:val="24"/>
          <w:szCs w:val="24"/>
        </w:rPr>
        <w:t>Empero, el sujeto obligado no atendió lo previsto por los artículos 18, 19 y 20 de la Ley de Transparencia que establecen que:</w:t>
      </w:r>
    </w:p>
    <w:p w:rsidR="00CA00E7" w:rsidRPr="00E020E8" w:rsidRDefault="00CA00E7" w:rsidP="00E020E8">
      <w:pPr>
        <w:pStyle w:val="corte4fondo"/>
        <w:spacing w:line="276" w:lineRule="auto"/>
        <w:ind w:firstLine="0"/>
        <w:rPr>
          <w:rFonts w:cs="Arial"/>
          <w:color w:val="2E74B5" w:themeColor="accent1" w:themeShade="BF"/>
          <w:sz w:val="24"/>
          <w:szCs w:val="24"/>
        </w:rPr>
      </w:pPr>
    </w:p>
    <w:p w:rsidR="00CA00E7" w:rsidRPr="00E020E8" w:rsidRDefault="00CA00E7" w:rsidP="00E020E8">
      <w:pPr>
        <w:pStyle w:val="NormalWeb"/>
        <w:tabs>
          <w:tab w:val="left" w:pos="0"/>
        </w:tabs>
        <w:spacing w:before="0" w:beforeAutospacing="0" w:after="0" w:afterAutospacing="0" w:line="276" w:lineRule="auto"/>
        <w:jc w:val="both"/>
        <w:rPr>
          <w:rFonts w:ascii="Arial" w:hAnsi="Arial" w:cs="Arial"/>
          <w:color w:val="2E74B5" w:themeColor="accent1" w:themeShade="BF"/>
          <w:lang w:val="es-MX"/>
        </w:rPr>
      </w:pPr>
      <w:r w:rsidRPr="00E020E8">
        <w:rPr>
          <w:rFonts w:ascii="Arial" w:hAnsi="Arial" w:cs="Arial"/>
          <w:color w:val="2E74B5" w:themeColor="accent1" w:themeShade="BF"/>
          <w:lang w:val="es-MX"/>
        </w:rPr>
        <w:t>Sobre lo anterior los artículos 18, 19 y 20 de la Ley de Transparencia y Acceso a la Información Pública del Estado refieren:</w:t>
      </w:r>
    </w:p>
    <w:p w:rsidR="00CA00E7" w:rsidRPr="00E020E8" w:rsidRDefault="00CA00E7" w:rsidP="00E020E8">
      <w:pPr>
        <w:pStyle w:val="corte4fondo"/>
        <w:spacing w:line="276" w:lineRule="auto"/>
        <w:ind w:firstLine="0"/>
        <w:rPr>
          <w:rFonts w:cs="Arial"/>
          <w:color w:val="2E74B5" w:themeColor="accent1" w:themeShade="BF"/>
          <w:sz w:val="24"/>
          <w:szCs w:val="24"/>
        </w:rPr>
      </w:pPr>
    </w:p>
    <w:p w:rsidR="00CA00E7" w:rsidRPr="00E020E8" w:rsidRDefault="00CA00E7" w:rsidP="00E020E8">
      <w:pPr>
        <w:pStyle w:val="corte4fondo"/>
        <w:spacing w:line="276" w:lineRule="auto"/>
        <w:ind w:left="708" w:firstLine="0"/>
        <w:rPr>
          <w:rFonts w:cs="Arial"/>
          <w:color w:val="2E74B5" w:themeColor="accent1" w:themeShade="BF"/>
          <w:sz w:val="20"/>
        </w:rPr>
      </w:pPr>
      <w:r w:rsidRPr="00E020E8">
        <w:rPr>
          <w:rFonts w:cs="Arial"/>
          <w:b/>
          <w:color w:val="2E74B5" w:themeColor="accent1" w:themeShade="BF"/>
          <w:sz w:val="20"/>
        </w:rPr>
        <w:t>ARTÍCULO 18.</w:t>
      </w:r>
      <w:r w:rsidRPr="00E020E8">
        <w:rPr>
          <w:rFonts w:cs="Arial"/>
          <w:color w:val="2E74B5" w:themeColor="accent1" w:themeShade="BF"/>
          <w:sz w:val="20"/>
        </w:rPr>
        <w:t xml:space="preserve"> Los sujetos obligados deberán documentar todo acto que derive del ejercicio de sus facultades, competencias o funciones.</w:t>
      </w:r>
    </w:p>
    <w:p w:rsidR="00CA00E7" w:rsidRPr="00E020E8" w:rsidRDefault="00CA00E7" w:rsidP="00E020E8">
      <w:pPr>
        <w:pStyle w:val="corte4fondo"/>
        <w:spacing w:line="276" w:lineRule="auto"/>
        <w:ind w:left="708" w:firstLine="0"/>
        <w:rPr>
          <w:rFonts w:cs="Arial"/>
          <w:color w:val="2E74B5" w:themeColor="accent1" w:themeShade="BF"/>
          <w:sz w:val="20"/>
        </w:rPr>
      </w:pPr>
    </w:p>
    <w:p w:rsidR="00CA00E7" w:rsidRPr="00E020E8" w:rsidRDefault="00CA00E7" w:rsidP="00E020E8">
      <w:pPr>
        <w:pStyle w:val="corte4fondo"/>
        <w:spacing w:line="276" w:lineRule="auto"/>
        <w:ind w:left="708" w:firstLine="0"/>
        <w:rPr>
          <w:rFonts w:cs="Arial"/>
          <w:color w:val="2E74B5" w:themeColor="accent1" w:themeShade="BF"/>
          <w:sz w:val="20"/>
        </w:rPr>
      </w:pPr>
      <w:r w:rsidRPr="00E020E8">
        <w:rPr>
          <w:rFonts w:cs="Arial"/>
          <w:b/>
          <w:color w:val="2E74B5" w:themeColor="accent1" w:themeShade="BF"/>
          <w:sz w:val="20"/>
        </w:rPr>
        <w:t>ARTÍCULO 19.</w:t>
      </w:r>
      <w:r w:rsidRPr="00E020E8">
        <w:rPr>
          <w:rFonts w:cs="Arial"/>
          <w:color w:val="2E74B5" w:themeColor="accent1" w:themeShade="BF"/>
          <w:sz w:val="20"/>
        </w:rPr>
        <w:t xml:space="preserve"> Se presume que la información debe existir si se refiere a las facultades, competencias y funciones que los ordenamientos jurídicos aplicables otorgan a los sujetos obligados.</w:t>
      </w:r>
    </w:p>
    <w:p w:rsidR="00CA00E7" w:rsidRPr="00E020E8" w:rsidRDefault="00CA00E7" w:rsidP="00E020E8">
      <w:pPr>
        <w:pStyle w:val="corte4fondo"/>
        <w:spacing w:line="276" w:lineRule="auto"/>
        <w:ind w:left="708" w:firstLine="0"/>
        <w:rPr>
          <w:rFonts w:cs="Arial"/>
          <w:color w:val="2E74B5" w:themeColor="accent1" w:themeShade="BF"/>
          <w:sz w:val="20"/>
        </w:rPr>
      </w:pPr>
      <w:r w:rsidRPr="00E020E8">
        <w:rPr>
          <w:rFonts w:cs="Arial"/>
          <w:color w:val="2E74B5" w:themeColor="accent1" w:themeShade="BF"/>
          <w:sz w:val="20"/>
        </w:rPr>
        <w:t>En los casos en que ciertas facultades, competencias o funciones no se hayan ejercido, se debe motivar la respuesta en función de las causas que motiven la inexistencia.</w:t>
      </w:r>
    </w:p>
    <w:p w:rsidR="00CA00E7" w:rsidRPr="00E020E8" w:rsidRDefault="00CA00E7" w:rsidP="00E020E8">
      <w:pPr>
        <w:pStyle w:val="corte4fondo"/>
        <w:spacing w:line="276" w:lineRule="auto"/>
        <w:ind w:left="708" w:firstLine="0"/>
        <w:rPr>
          <w:rFonts w:cs="Arial"/>
          <w:color w:val="2E74B5" w:themeColor="accent1" w:themeShade="BF"/>
          <w:sz w:val="20"/>
        </w:rPr>
      </w:pPr>
    </w:p>
    <w:p w:rsidR="00CA00E7" w:rsidRPr="00E020E8" w:rsidRDefault="00CA00E7" w:rsidP="00E020E8">
      <w:pPr>
        <w:pStyle w:val="corte4fondo"/>
        <w:spacing w:line="276" w:lineRule="auto"/>
        <w:ind w:left="708" w:firstLine="0"/>
        <w:rPr>
          <w:rFonts w:cs="Arial"/>
          <w:color w:val="2E74B5" w:themeColor="accent1" w:themeShade="BF"/>
          <w:sz w:val="24"/>
          <w:szCs w:val="24"/>
        </w:rPr>
      </w:pPr>
      <w:r w:rsidRPr="00E020E8">
        <w:rPr>
          <w:rFonts w:cs="Arial"/>
          <w:b/>
          <w:color w:val="2E74B5" w:themeColor="accent1" w:themeShade="BF"/>
          <w:sz w:val="20"/>
        </w:rPr>
        <w:t>ARTÍCULO 20.</w:t>
      </w:r>
      <w:r w:rsidRPr="00E020E8">
        <w:rPr>
          <w:rFonts w:cs="Arial"/>
          <w:color w:val="2E74B5" w:themeColor="accent1" w:themeShade="BF"/>
          <w:sz w:val="20"/>
        </w:rPr>
        <w:t xml:space="preserve"> Ante la negativa del acceso a la información o su inexistencia, el sujeto obligado deberá demostrar que la información solicitada está prevista en alguna de las excepciones contenidas en esta Ley o, en su caso, demostrar que la información no se refiere a alguna de sus facultades, competencias o funciones.</w:t>
      </w:r>
    </w:p>
    <w:p w:rsidR="00CA00E7" w:rsidRPr="00E020E8" w:rsidRDefault="00CA00E7" w:rsidP="00E020E8">
      <w:pPr>
        <w:pStyle w:val="corte4fondo"/>
        <w:spacing w:line="276" w:lineRule="auto"/>
        <w:ind w:firstLine="0"/>
        <w:rPr>
          <w:rFonts w:cs="Arial"/>
          <w:color w:val="2E74B5" w:themeColor="accent1" w:themeShade="BF"/>
          <w:sz w:val="24"/>
          <w:szCs w:val="24"/>
        </w:rPr>
      </w:pPr>
    </w:p>
    <w:p w:rsidR="00CA00E7" w:rsidRPr="00E020E8" w:rsidRDefault="00CA00E7" w:rsidP="00E020E8">
      <w:pPr>
        <w:pStyle w:val="corte4fondo"/>
        <w:spacing w:line="276" w:lineRule="auto"/>
        <w:ind w:firstLine="0"/>
        <w:rPr>
          <w:rFonts w:cs="Arial"/>
          <w:color w:val="2E74B5" w:themeColor="accent1" w:themeShade="BF"/>
          <w:sz w:val="20"/>
        </w:rPr>
      </w:pPr>
      <w:r w:rsidRPr="00E020E8">
        <w:rPr>
          <w:rFonts w:cs="Arial"/>
          <w:color w:val="2E74B5" w:themeColor="accent1" w:themeShade="BF"/>
          <w:sz w:val="24"/>
          <w:szCs w:val="24"/>
        </w:rPr>
        <w:tab/>
        <w:t xml:space="preserve">Esto es, </w:t>
      </w:r>
      <w:r w:rsidR="00E020E8" w:rsidRPr="00E020E8">
        <w:rPr>
          <w:rFonts w:cs="Arial"/>
          <w:color w:val="2E74B5" w:themeColor="accent1" w:themeShade="BF"/>
          <w:sz w:val="24"/>
          <w:szCs w:val="24"/>
        </w:rPr>
        <w:t>que,</w:t>
      </w:r>
      <w:r w:rsidRPr="00E020E8">
        <w:rPr>
          <w:rFonts w:cs="Arial"/>
          <w:color w:val="2E74B5" w:themeColor="accent1" w:themeShade="BF"/>
          <w:sz w:val="24"/>
          <w:szCs w:val="24"/>
        </w:rPr>
        <w:t xml:space="preserve"> si la información que le fue solicitada deriva del ejercicio de sus facultades, competencias o funciones, se presume que la misma debe de existir o, en su caso, demostrar que la información no se refiere a alguna de sus facultades, competencias o funciones o bien, que en los casos </w:t>
      </w:r>
      <w:r w:rsidRPr="00E020E8">
        <w:rPr>
          <w:rFonts w:cs="Arial"/>
          <w:color w:val="2E74B5" w:themeColor="accent1" w:themeShade="BF"/>
          <w:sz w:val="24"/>
          <w:szCs w:val="24"/>
          <w:u w:val="single"/>
        </w:rPr>
        <w:t>en que ciertas facultades, competencias o funciones no se hayan ejercido, se debe motivar la respuesta en función de las causas que motiven la inexistencia</w:t>
      </w:r>
      <w:r w:rsidRPr="00E020E8">
        <w:rPr>
          <w:rFonts w:cs="Arial"/>
          <w:color w:val="2E74B5" w:themeColor="accent1" w:themeShade="BF"/>
          <w:sz w:val="20"/>
        </w:rPr>
        <w:t>.</w:t>
      </w:r>
    </w:p>
    <w:p w:rsidR="00CA00E7" w:rsidRPr="00E020E8" w:rsidRDefault="00CA00E7" w:rsidP="00E020E8">
      <w:pPr>
        <w:pStyle w:val="corte4fondo"/>
        <w:spacing w:line="276" w:lineRule="auto"/>
        <w:ind w:firstLine="0"/>
        <w:rPr>
          <w:rFonts w:cs="Arial"/>
          <w:color w:val="2E74B5" w:themeColor="accent1" w:themeShade="BF"/>
          <w:sz w:val="24"/>
          <w:szCs w:val="24"/>
          <w:highlight w:val="yellow"/>
        </w:rPr>
      </w:pPr>
    </w:p>
    <w:p w:rsidR="00CA00E7" w:rsidRPr="00E020E8" w:rsidRDefault="00CA00E7" w:rsidP="00E020E8">
      <w:pPr>
        <w:pStyle w:val="corte4fondo"/>
        <w:tabs>
          <w:tab w:val="left" w:pos="567"/>
        </w:tabs>
        <w:spacing w:line="276" w:lineRule="auto"/>
        <w:rPr>
          <w:rFonts w:cs="Arial"/>
          <w:color w:val="2E74B5" w:themeColor="accent1" w:themeShade="BF"/>
          <w:sz w:val="24"/>
          <w:szCs w:val="24"/>
        </w:rPr>
      </w:pPr>
      <w:r w:rsidRPr="00E020E8">
        <w:rPr>
          <w:rFonts w:cs="Arial"/>
          <w:color w:val="2E74B5" w:themeColor="accent1" w:themeShade="BF"/>
          <w:sz w:val="24"/>
          <w:szCs w:val="24"/>
        </w:rPr>
        <w:t>Lo anterior, porque a juicio de esta Comisión de Transparencia, en el caso sobre la información que la solicitante pidió si se puede observar que pudiese generar la información de acuerdo con lo siguiente:</w:t>
      </w:r>
    </w:p>
    <w:p w:rsidR="004A6578" w:rsidRPr="00E020E8" w:rsidRDefault="004A6578" w:rsidP="00E020E8">
      <w:pPr>
        <w:pStyle w:val="corte4fondo"/>
        <w:spacing w:line="276" w:lineRule="auto"/>
        <w:ind w:firstLine="708"/>
        <w:rPr>
          <w:rFonts w:cs="Arial"/>
          <w:color w:val="2E74B5" w:themeColor="accent1" w:themeShade="BF"/>
          <w:sz w:val="24"/>
          <w:szCs w:val="24"/>
        </w:rPr>
      </w:pPr>
    </w:p>
    <w:p w:rsidR="00CA00E7" w:rsidRPr="00E020E8" w:rsidRDefault="00CA00E7" w:rsidP="00E020E8">
      <w:pPr>
        <w:spacing w:after="0"/>
        <w:rPr>
          <w:rFonts w:ascii="Arial" w:hAnsi="Arial" w:cs="Arial"/>
          <w:i/>
          <w:color w:val="2E74B5" w:themeColor="accent1" w:themeShade="BF"/>
          <w:sz w:val="20"/>
          <w:szCs w:val="20"/>
        </w:rPr>
      </w:pPr>
      <w:r w:rsidRPr="00E020E8">
        <w:rPr>
          <w:rFonts w:ascii="Arial" w:hAnsi="Arial" w:cs="Arial"/>
          <w:i/>
          <w:color w:val="2E74B5" w:themeColor="accent1" w:themeShade="BF"/>
          <w:sz w:val="20"/>
          <w:szCs w:val="20"/>
        </w:rPr>
        <w:t xml:space="preserve"> </w:t>
      </w:r>
    </w:p>
    <w:tbl>
      <w:tblPr>
        <w:tblStyle w:val="Tablaconcuadrcula"/>
        <w:tblW w:w="0" w:type="auto"/>
        <w:tblLook w:val="04A0" w:firstRow="1" w:lastRow="0" w:firstColumn="1" w:lastColumn="0" w:noHBand="0" w:noVBand="1"/>
      </w:tblPr>
      <w:tblGrid>
        <w:gridCol w:w="2913"/>
        <w:gridCol w:w="2611"/>
        <w:gridCol w:w="2835"/>
      </w:tblGrid>
      <w:tr w:rsidR="009A21BA" w:rsidRPr="00E020E8" w:rsidTr="00BF3DF4">
        <w:tc>
          <w:tcPr>
            <w:tcW w:w="2913" w:type="dxa"/>
          </w:tcPr>
          <w:p w:rsidR="00A378A9" w:rsidRPr="000B5D95" w:rsidRDefault="00A378A9" w:rsidP="00E020E8">
            <w:pPr>
              <w:spacing w:after="0"/>
              <w:rPr>
                <w:rFonts w:ascii="Arial" w:hAnsi="Arial" w:cs="Arial"/>
                <w:b/>
                <w:i/>
                <w:color w:val="2E74B5" w:themeColor="accent1" w:themeShade="BF"/>
                <w:sz w:val="20"/>
                <w:szCs w:val="20"/>
              </w:rPr>
            </w:pPr>
            <w:r w:rsidRPr="000B5D95">
              <w:rPr>
                <w:rFonts w:ascii="Arial" w:hAnsi="Arial" w:cs="Arial"/>
                <w:b/>
                <w:color w:val="2E74B5" w:themeColor="accent1" w:themeShade="BF"/>
                <w:sz w:val="20"/>
                <w:szCs w:val="20"/>
              </w:rPr>
              <w:lastRenderedPageBreak/>
              <w:t>Solicitud de acceso a la información pública</w:t>
            </w:r>
          </w:p>
        </w:tc>
        <w:tc>
          <w:tcPr>
            <w:tcW w:w="2611" w:type="dxa"/>
          </w:tcPr>
          <w:p w:rsidR="00A378A9" w:rsidRPr="000B5D95" w:rsidRDefault="00A378A9" w:rsidP="00E020E8">
            <w:pPr>
              <w:spacing w:after="0"/>
              <w:rPr>
                <w:rFonts w:ascii="Arial" w:hAnsi="Arial" w:cs="Arial"/>
                <w:b/>
                <w:i/>
                <w:color w:val="2E74B5" w:themeColor="accent1" w:themeShade="BF"/>
                <w:sz w:val="20"/>
                <w:szCs w:val="20"/>
              </w:rPr>
            </w:pPr>
            <w:r w:rsidRPr="000B5D95">
              <w:rPr>
                <w:rFonts w:ascii="Arial" w:hAnsi="Arial" w:cs="Arial"/>
                <w:b/>
                <w:i/>
                <w:color w:val="2E74B5" w:themeColor="accent1" w:themeShade="BF"/>
                <w:sz w:val="20"/>
                <w:szCs w:val="20"/>
              </w:rPr>
              <w:t xml:space="preserve">Ley Orgánica de la Administración Pública del Estado De San Luis Potosí </w:t>
            </w:r>
          </w:p>
        </w:tc>
        <w:tc>
          <w:tcPr>
            <w:tcW w:w="2835" w:type="dxa"/>
          </w:tcPr>
          <w:p w:rsidR="00A378A9" w:rsidRPr="000B5D95" w:rsidRDefault="00BF3DF4" w:rsidP="00E020E8">
            <w:pPr>
              <w:spacing w:after="0"/>
              <w:rPr>
                <w:rFonts w:ascii="Arial" w:hAnsi="Arial" w:cs="Arial"/>
                <w:b/>
                <w:i/>
                <w:color w:val="2E74B5" w:themeColor="accent1" w:themeShade="BF"/>
                <w:sz w:val="20"/>
                <w:szCs w:val="20"/>
              </w:rPr>
            </w:pPr>
            <w:r w:rsidRPr="000B5D95">
              <w:rPr>
                <w:rFonts w:ascii="Arial" w:hAnsi="Arial" w:cs="Arial"/>
                <w:b/>
                <w:i/>
                <w:color w:val="2E74B5" w:themeColor="accent1" w:themeShade="BF"/>
                <w:sz w:val="20"/>
                <w:szCs w:val="20"/>
              </w:rPr>
              <w:t>Reglamento interior de la Oficialía Mayor</w:t>
            </w:r>
          </w:p>
        </w:tc>
      </w:tr>
      <w:tr w:rsidR="009A21BA" w:rsidRPr="00E020E8" w:rsidTr="00BF3DF4">
        <w:tc>
          <w:tcPr>
            <w:tcW w:w="2913" w:type="dxa"/>
          </w:tcPr>
          <w:p w:rsidR="00A378A9" w:rsidRPr="000B5D95" w:rsidRDefault="00A378A9" w:rsidP="00E020E8">
            <w:pPr>
              <w:spacing w:after="0"/>
              <w:jc w:val="both"/>
              <w:rPr>
                <w:rFonts w:ascii="Arial" w:hAnsi="Arial" w:cs="Arial"/>
                <w:i/>
                <w:color w:val="2E74B5" w:themeColor="accent1" w:themeShade="BF"/>
                <w:sz w:val="20"/>
                <w:szCs w:val="20"/>
              </w:rPr>
            </w:pPr>
            <w:r w:rsidRPr="000B5D95">
              <w:rPr>
                <w:rFonts w:ascii="Arial" w:hAnsi="Arial" w:cs="Arial"/>
                <w:i/>
                <w:color w:val="2E74B5" w:themeColor="accent1" w:themeShade="BF"/>
                <w:sz w:val="20"/>
                <w:szCs w:val="20"/>
              </w:rPr>
              <w:t>“…Fundamentado en el 6° Constitucional, 4 de la Ley de Transparencia de Acceso a la Información Pública del Estado de San Luis Potosí, con la finalidad de conocer la aplicación de los recursos públicos que faculta a las instituciones del gobierno del estado, del que todos los ciudadanos tenemos derecho a conocer, investigar, solicitar y recibir información, es así que solicito se me informe lo siguiente:</w:t>
            </w:r>
          </w:p>
          <w:p w:rsidR="00A378A9" w:rsidRPr="000B5D95" w:rsidRDefault="00A378A9" w:rsidP="00E020E8">
            <w:pPr>
              <w:spacing w:after="0"/>
              <w:ind w:firstLine="709"/>
              <w:jc w:val="both"/>
              <w:rPr>
                <w:rFonts w:ascii="Arial" w:hAnsi="Arial" w:cs="Arial"/>
                <w:i/>
                <w:color w:val="2E74B5" w:themeColor="accent1" w:themeShade="BF"/>
                <w:sz w:val="20"/>
                <w:szCs w:val="20"/>
              </w:rPr>
            </w:pPr>
          </w:p>
          <w:p w:rsidR="00A378A9" w:rsidRPr="000B5D95" w:rsidRDefault="00A378A9" w:rsidP="00E020E8">
            <w:pPr>
              <w:spacing w:after="0"/>
              <w:ind w:firstLine="709"/>
              <w:jc w:val="both"/>
              <w:rPr>
                <w:rFonts w:ascii="Arial" w:hAnsi="Arial" w:cs="Arial"/>
                <w:i/>
                <w:color w:val="2E74B5" w:themeColor="accent1" w:themeShade="BF"/>
                <w:sz w:val="20"/>
                <w:szCs w:val="20"/>
              </w:rPr>
            </w:pPr>
            <w:r w:rsidRPr="000B5D95">
              <w:rPr>
                <w:rFonts w:ascii="Arial" w:hAnsi="Arial" w:cs="Arial"/>
                <w:i/>
                <w:color w:val="2E74B5" w:themeColor="accent1" w:themeShade="BF"/>
                <w:sz w:val="20"/>
                <w:szCs w:val="20"/>
              </w:rPr>
              <w:t>1.- El servicio médico que ofrece gobierno del estado a sus trabajadores es único y exclusivo para los trabajadores en función?</w:t>
            </w:r>
          </w:p>
          <w:p w:rsidR="00A378A9" w:rsidRPr="000B5D95" w:rsidRDefault="00A378A9" w:rsidP="00E020E8">
            <w:pPr>
              <w:spacing w:after="0"/>
              <w:ind w:firstLine="709"/>
              <w:jc w:val="both"/>
              <w:rPr>
                <w:rFonts w:ascii="Arial" w:hAnsi="Arial" w:cs="Arial"/>
                <w:i/>
                <w:color w:val="2E74B5" w:themeColor="accent1" w:themeShade="BF"/>
                <w:sz w:val="20"/>
                <w:szCs w:val="20"/>
              </w:rPr>
            </w:pPr>
          </w:p>
          <w:p w:rsidR="00A378A9" w:rsidRPr="000B5D95" w:rsidRDefault="00A378A9" w:rsidP="00E020E8">
            <w:pPr>
              <w:spacing w:after="0"/>
              <w:ind w:firstLine="709"/>
              <w:jc w:val="both"/>
              <w:rPr>
                <w:rFonts w:ascii="Arial" w:hAnsi="Arial" w:cs="Arial"/>
                <w:i/>
                <w:color w:val="2E74B5" w:themeColor="accent1" w:themeShade="BF"/>
                <w:sz w:val="20"/>
                <w:szCs w:val="20"/>
              </w:rPr>
            </w:pPr>
            <w:r w:rsidRPr="000B5D95">
              <w:rPr>
                <w:rFonts w:ascii="Arial" w:hAnsi="Arial" w:cs="Arial"/>
                <w:i/>
                <w:color w:val="2E74B5" w:themeColor="accent1" w:themeShade="BF"/>
                <w:sz w:val="20"/>
                <w:szCs w:val="20"/>
              </w:rPr>
              <w:t xml:space="preserve">2.- El derecho de afiliación al servicio </w:t>
            </w:r>
            <w:proofErr w:type="spellStart"/>
            <w:r w:rsidRPr="000B5D95">
              <w:rPr>
                <w:rFonts w:ascii="Arial" w:hAnsi="Arial" w:cs="Arial"/>
                <w:i/>
                <w:color w:val="2E74B5" w:themeColor="accent1" w:themeShade="BF"/>
                <w:sz w:val="20"/>
                <w:szCs w:val="20"/>
              </w:rPr>
              <w:t>medico</w:t>
            </w:r>
            <w:proofErr w:type="spellEnd"/>
            <w:r w:rsidRPr="000B5D95">
              <w:rPr>
                <w:rFonts w:ascii="Arial" w:hAnsi="Arial" w:cs="Arial"/>
                <w:i/>
                <w:color w:val="2E74B5" w:themeColor="accent1" w:themeShade="BF"/>
                <w:sz w:val="20"/>
                <w:szCs w:val="20"/>
              </w:rPr>
              <w:t xml:space="preserve"> es extensivo a esposa e hijos solamente?</w:t>
            </w:r>
          </w:p>
          <w:p w:rsidR="00A378A9" w:rsidRPr="000B5D95" w:rsidRDefault="00A378A9" w:rsidP="00E020E8">
            <w:pPr>
              <w:spacing w:after="0"/>
              <w:ind w:firstLine="709"/>
              <w:jc w:val="both"/>
              <w:rPr>
                <w:rFonts w:ascii="Arial" w:hAnsi="Arial" w:cs="Arial"/>
                <w:i/>
                <w:color w:val="2E74B5" w:themeColor="accent1" w:themeShade="BF"/>
                <w:sz w:val="20"/>
                <w:szCs w:val="20"/>
              </w:rPr>
            </w:pPr>
          </w:p>
          <w:p w:rsidR="00A378A9" w:rsidRPr="000B5D95" w:rsidRDefault="00A378A9" w:rsidP="00E020E8">
            <w:pPr>
              <w:spacing w:after="0"/>
              <w:ind w:firstLine="709"/>
              <w:jc w:val="both"/>
              <w:rPr>
                <w:rFonts w:ascii="Arial" w:hAnsi="Arial" w:cs="Arial"/>
                <w:i/>
                <w:color w:val="2E74B5" w:themeColor="accent1" w:themeShade="BF"/>
                <w:sz w:val="20"/>
                <w:szCs w:val="20"/>
              </w:rPr>
            </w:pPr>
            <w:r w:rsidRPr="000B5D95">
              <w:rPr>
                <w:rFonts w:ascii="Arial" w:hAnsi="Arial" w:cs="Arial"/>
                <w:i/>
                <w:color w:val="2E74B5" w:themeColor="accent1" w:themeShade="BF"/>
                <w:sz w:val="20"/>
                <w:szCs w:val="20"/>
              </w:rPr>
              <w:t xml:space="preserve">3.- En qué casos un trabajador puede afiliar al servicio médico al que tiene derecho a sus padres, o algún </w:t>
            </w:r>
            <w:proofErr w:type="gramStart"/>
            <w:r w:rsidRPr="000B5D95">
              <w:rPr>
                <w:rFonts w:ascii="Arial" w:hAnsi="Arial" w:cs="Arial"/>
                <w:i/>
                <w:color w:val="2E74B5" w:themeColor="accent1" w:themeShade="BF"/>
                <w:sz w:val="20"/>
                <w:szCs w:val="20"/>
              </w:rPr>
              <w:t>familiar</w:t>
            </w:r>
            <w:proofErr w:type="gramEnd"/>
            <w:r w:rsidRPr="000B5D95">
              <w:rPr>
                <w:rFonts w:ascii="Arial" w:hAnsi="Arial" w:cs="Arial"/>
                <w:i/>
                <w:color w:val="2E74B5" w:themeColor="accent1" w:themeShade="BF"/>
                <w:sz w:val="20"/>
                <w:szCs w:val="20"/>
              </w:rPr>
              <w:t xml:space="preserve"> es decir: a su madre y padre o hermanos?</w:t>
            </w:r>
          </w:p>
          <w:p w:rsidR="00A378A9" w:rsidRPr="000B5D95" w:rsidRDefault="00A378A9" w:rsidP="00E020E8">
            <w:pPr>
              <w:spacing w:after="0"/>
              <w:ind w:firstLine="709"/>
              <w:jc w:val="both"/>
              <w:rPr>
                <w:rFonts w:ascii="Arial" w:hAnsi="Arial" w:cs="Arial"/>
                <w:i/>
                <w:color w:val="2E74B5" w:themeColor="accent1" w:themeShade="BF"/>
                <w:sz w:val="20"/>
                <w:szCs w:val="20"/>
              </w:rPr>
            </w:pPr>
          </w:p>
          <w:p w:rsidR="00A378A9" w:rsidRPr="000B5D95" w:rsidRDefault="00A378A9" w:rsidP="00E020E8">
            <w:pPr>
              <w:spacing w:after="0"/>
              <w:ind w:firstLine="709"/>
              <w:jc w:val="both"/>
              <w:rPr>
                <w:rFonts w:ascii="Arial" w:hAnsi="Arial" w:cs="Arial"/>
                <w:i/>
                <w:color w:val="2E74B5" w:themeColor="accent1" w:themeShade="BF"/>
                <w:sz w:val="20"/>
                <w:szCs w:val="20"/>
              </w:rPr>
            </w:pPr>
            <w:r w:rsidRPr="000B5D95">
              <w:rPr>
                <w:rFonts w:ascii="Arial" w:hAnsi="Arial" w:cs="Arial"/>
                <w:i/>
                <w:color w:val="2E74B5" w:themeColor="accent1" w:themeShade="BF"/>
                <w:sz w:val="20"/>
                <w:szCs w:val="20"/>
              </w:rPr>
              <w:t xml:space="preserve">4.- En caso de que no proceda la afiliación de madre o padre, e inclusive de hermanos, demostrar con la plantilla vigente que no se encuentran afiliados al servicio </w:t>
            </w:r>
            <w:proofErr w:type="spellStart"/>
            <w:r w:rsidRPr="000B5D95">
              <w:rPr>
                <w:rFonts w:ascii="Arial" w:hAnsi="Arial" w:cs="Arial"/>
                <w:i/>
                <w:color w:val="2E74B5" w:themeColor="accent1" w:themeShade="BF"/>
                <w:sz w:val="20"/>
                <w:szCs w:val="20"/>
              </w:rPr>
              <w:t>medico</w:t>
            </w:r>
            <w:proofErr w:type="spellEnd"/>
            <w:r w:rsidRPr="000B5D95">
              <w:rPr>
                <w:rFonts w:ascii="Arial" w:hAnsi="Arial" w:cs="Arial"/>
                <w:i/>
                <w:color w:val="2E74B5" w:themeColor="accent1" w:themeShade="BF"/>
                <w:sz w:val="20"/>
                <w:szCs w:val="20"/>
              </w:rPr>
              <w:t xml:space="preserve"> personas que no tienen derecho a este (o que no existan aviadores dentro del mismo y que no le cueste mantener personas ajenas al servicio) la plantilla deberá ser como sigue:</w:t>
            </w:r>
          </w:p>
          <w:p w:rsidR="00A378A9" w:rsidRPr="000B5D95" w:rsidRDefault="00A378A9" w:rsidP="00E020E8">
            <w:pPr>
              <w:spacing w:after="0"/>
              <w:ind w:firstLine="709"/>
              <w:jc w:val="both"/>
              <w:rPr>
                <w:rFonts w:ascii="Arial" w:hAnsi="Arial" w:cs="Arial"/>
                <w:i/>
                <w:color w:val="2E74B5" w:themeColor="accent1" w:themeShade="BF"/>
                <w:sz w:val="20"/>
                <w:szCs w:val="20"/>
              </w:rPr>
            </w:pPr>
          </w:p>
          <w:p w:rsidR="00A378A9" w:rsidRPr="000B5D95" w:rsidRDefault="00A378A9" w:rsidP="00E020E8">
            <w:pPr>
              <w:spacing w:after="0"/>
              <w:ind w:firstLine="709"/>
              <w:jc w:val="both"/>
              <w:rPr>
                <w:rFonts w:ascii="Arial" w:hAnsi="Arial" w:cs="Arial"/>
                <w:i/>
                <w:color w:val="2E74B5" w:themeColor="accent1" w:themeShade="BF"/>
                <w:sz w:val="20"/>
                <w:szCs w:val="20"/>
              </w:rPr>
            </w:pPr>
            <w:r w:rsidRPr="000B5D95">
              <w:rPr>
                <w:rFonts w:ascii="Arial" w:hAnsi="Arial" w:cs="Arial"/>
                <w:i/>
                <w:color w:val="2E74B5" w:themeColor="accent1" w:themeShade="BF"/>
                <w:sz w:val="20"/>
                <w:szCs w:val="20"/>
              </w:rPr>
              <w:t>- Nombre del Trabajador</w:t>
            </w:r>
          </w:p>
          <w:p w:rsidR="00A378A9" w:rsidRPr="000B5D95" w:rsidRDefault="00A378A9" w:rsidP="00E020E8">
            <w:pPr>
              <w:spacing w:after="0"/>
              <w:ind w:firstLine="709"/>
              <w:jc w:val="both"/>
              <w:rPr>
                <w:rFonts w:ascii="Arial" w:hAnsi="Arial" w:cs="Arial"/>
                <w:i/>
                <w:color w:val="2E74B5" w:themeColor="accent1" w:themeShade="BF"/>
                <w:sz w:val="20"/>
                <w:szCs w:val="20"/>
              </w:rPr>
            </w:pPr>
            <w:r w:rsidRPr="000B5D95">
              <w:rPr>
                <w:rFonts w:ascii="Arial" w:hAnsi="Arial" w:cs="Arial"/>
                <w:i/>
                <w:color w:val="2E74B5" w:themeColor="accent1" w:themeShade="BF"/>
                <w:sz w:val="20"/>
                <w:szCs w:val="20"/>
              </w:rPr>
              <w:t>- Beneficiarios:</w:t>
            </w:r>
          </w:p>
          <w:p w:rsidR="00A378A9" w:rsidRPr="000B5D95" w:rsidRDefault="00A378A9" w:rsidP="00E020E8">
            <w:pPr>
              <w:spacing w:after="0"/>
              <w:ind w:firstLine="709"/>
              <w:jc w:val="both"/>
              <w:rPr>
                <w:rFonts w:ascii="Arial" w:hAnsi="Arial" w:cs="Arial"/>
                <w:i/>
                <w:color w:val="2E74B5" w:themeColor="accent1" w:themeShade="BF"/>
                <w:sz w:val="20"/>
                <w:szCs w:val="20"/>
              </w:rPr>
            </w:pPr>
            <w:r w:rsidRPr="000B5D95">
              <w:rPr>
                <w:rFonts w:ascii="Arial" w:hAnsi="Arial" w:cs="Arial"/>
                <w:i/>
                <w:color w:val="2E74B5" w:themeColor="accent1" w:themeShade="BF"/>
                <w:sz w:val="20"/>
                <w:szCs w:val="20"/>
              </w:rPr>
              <w:tab/>
              <w:t>Hijo</w:t>
            </w:r>
          </w:p>
          <w:p w:rsidR="00A378A9" w:rsidRPr="000B5D95" w:rsidRDefault="00A378A9" w:rsidP="00E020E8">
            <w:pPr>
              <w:spacing w:after="0"/>
              <w:ind w:firstLine="709"/>
              <w:jc w:val="both"/>
              <w:rPr>
                <w:rFonts w:ascii="Arial" w:hAnsi="Arial" w:cs="Arial"/>
                <w:i/>
                <w:color w:val="2E74B5" w:themeColor="accent1" w:themeShade="BF"/>
                <w:sz w:val="20"/>
                <w:szCs w:val="20"/>
              </w:rPr>
            </w:pPr>
            <w:r w:rsidRPr="000B5D95">
              <w:rPr>
                <w:rFonts w:ascii="Arial" w:hAnsi="Arial" w:cs="Arial"/>
                <w:i/>
                <w:color w:val="2E74B5" w:themeColor="accent1" w:themeShade="BF"/>
                <w:sz w:val="20"/>
                <w:szCs w:val="20"/>
              </w:rPr>
              <w:lastRenderedPageBreak/>
              <w:tab/>
              <w:t>Esposa</w:t>
            </w:r>
          </w:p>
          <w:p w:rsidR="00A378A9" w:rsidRPr="000B5D95" w:rsidRDefault="00A378A9" w:rsidP="00E020E8">
            <w:pPr>
              <w:spacing w:after="0"/>
              <w:ind w:firstLine="709"/>
              <w:jc w:val="both"/>
              <w:rPr>
                <w:rFonts w:ascii="Arial" w:hAnsi="Arial" w:cs="Arial"/>
                <w:i/>
                <w:color w:val="2E74B5" w:themeColor="accent1" w:themeShade="BF"/>
                <w:sz w:val="20"/>
                <w:szCs w:val="20"/>
              </w:rPr>
            </w:pPr>
            <w:r w:rsidRPr="000B5D95">
              <w:rPr>
                <w:rFonts w:ascii="Arial" w:hAnsi="Arial" w:cs="Arial"/>
                <w:i/>
                <w:color w:val="2E74B5" w:themeColor="accent1" w:themeShade="BF"/>
                <w:sz w:val="20"/>
                <w:szCs w:val="20"/>
              </w:rPr>
              <w:t>Y si aplica deberá detallar si está afiliado la o él:</w:t>
            </w:r>
          </w:p>
          <w:p w:rsidR="00A378A9" w:rsidRPr="000B5D95" w:rsidRDefault="00A378A9" w:rsidP="00E020E8">
            <w:pPr>
              <w:spacing w:after="0"/>
              <w:ind w:firstLine="709"/>
              <w:jc w:val="both"/>
              <w:rPr>
                <w:rFonts w:ascii="Arial" w:hAnsi="Arial" w:cs="Arial"/>
                <w:i/>
                <w:color w:val="2E74B5" w:themeColor="accent1" w:themeShade="BF"/>
                <w:sz w:val="20"/>
                <w:szCs w:val="20"/>
              </w:rPr>
            </w:pPr>
            <w:r w:rsidRPr="000B5D95">
              <w:rPr>
                <w:rFonts w:ascii="Arial" w:hAnsi="Arial" w:cs="Arial"/>
                <w:i/>
                <w:color w:val="2E74B5" w:themeColor="accent1" w:themeShade="BF"/>
                <w:sz w:val="20"/>
                <w:szCs w:val="20"/>
              </w:rPr>
              <w:tab/>
              <w:t>Madre</w:t>
            </w:r>
          </w:p>
          <w:p w:rsidR="00A378A9" w:rsidRPr="000B5D95" w:rsidRDefault="00A378A9" w:rsidP="00E020E8">
            <w:pPr>
              <w:spacing w:after="0"/>
              <w:ind w:firstLine="709"/>
              <w:jc w:val="both"/>
              <w:rPr>
                <w:rFonts w:ascii="Arial" w:hAnsi="Arial" w:cs="Arial"/>
                <w:i/>
                <w:color w:val="2E74B5" w:themeColor="accent1" w:themeShade="BF"/>
                <w:sz w:val="20"/>
                <w:szCs w:val="20"/>
              </w:rPr>
            </w:pPr>
            <w:r w:rsidRPr="000B5D95">
              <w:rPr>
                <w:rFonts w:ascii="Arial" w:hAnsi="Arial" w:cs="Arial"/>
                <w:i/>
                <w:color w:val="2E74B5" w:themeColor="accent1" w:themeShade="BF"/>
                <w:sz w:val="20"/>
                <w:szCs w:val="20"/>
              </w:rPr>
              <w:tab/>
              <w:t>Padre</w:t>
            </w:r>
          </w:p>
          <w:p w:rsidR="00A378A9" w:rsidRPr="000B5D95" w:rsidRDefault="00A378A9" w:rsidP="00E020E8">
            <w:pPr>
              <w:spacing w:after="0"/>
              <w:ind w:firstLine="709"/>
              <w:jc w:val="both"/>
              <w:rPr>
                <w:rFonts w:ascii="Arial" w:hAnsi="Arial" w:cs="Arial"/>
                <w:i/>
                <w:color w:val="2E74B5" w:themeColor="accent1" w:themeShade="BF"/>
                <w:sz w:val="20"/>
                <w:szCs w:val="20"/>
              </w:rPr>
            </w:pPr>
            <w:r w:rsidRPr="000B5D95">
              <w:rPr>
                <w:rFonts w:ascii="Arial" w:hAnsi="Arial" w:cs="Arial"/>
                <w:i/>
                <w:color w:val="2E74B5" w:themeColor="accent1" w:themeShade="BF"/>
                <w:sz w:val="20"/>
                <w:szCs w:val="20"/>
              </w:rPr>
              <w:tab/>
              <w:t>Hermano</w:t>
            </w:r>
          </w:p>
          <w:p w:rsidR="00A378A9" w:rsidRPr="000B5D95" w:rsidRDefault="00A378A9" w:rsidP="00E020E8">
            <w:pPr>
              <w:spacing w:after="0"/>
              <w:ind w:firstLine="709"/>
              <w:jc w:val="both"/>
              <w:rPr>
                <w:rFonts w:ascii="Arial" w:hAnsi="Arial" w:cs="Arial"/>
                <w:i/>
                <w:color w:val="2E74B5" w:themeColor="accent1" w:themeShade="BF"/>
                <w:sz w:val="20"/>
                <w:szCs w:val="20"/>
              </w:rPr>
            </w:pPr>
          </w:p>
          <w:p w:rsidR="00A378A9" w:rsidRPr="000B5D95" w:rsidRDefault="00A378A9" w:rsidP="00E020E8">
            <w:pPr>
              <w:spacing w:after="0"/>
              <w:ind w:firstLine="709"/>
              <w:jc w:val="both"/>
              <w:rPr>
                <w:rFonts w:ascii="Arial" w:hAnsi="Arial" w:cs="Arial"/>
                <w:i/>
                <w:color w:val="2E74B5" w:themeColor="accent1" w:themeShade="BF"/>
                <w:sz w:val="20"/>
                <w:szCs w:val="20"/>
              </w:rPr>
            </w:pPr>
            <w:r w:rsidRPr="000B5D95">
              <w:rPr>
                <w:rFonts w:ascii="Arial" w:hAnsi="Arial" w:cs="Arial"/>
                <w:i/>
                <w:color w:val="2E74B5" w:themeColor="accent1" w:themeShade="BF"/>
                <w:sz w:val="20"/>
                <w:szCs w:val="20"/>
              </w:rPr>
              <w:t>-Dependencia de Adscripción del trabajador</w:t>
            </w:r>
          </w:p>
          <w:p w:rsidR="00A378A9" w:rsidRPr="000B5D95" w:rsidRDefault="00A378A9" w:rsidP="00E020E8">
            <w:pPr>
              <w:spacing w:after="0"/>
              <w:ind w:firstLine="709"/>
              <w:jc w:val="both"/>
              <w:rPr>
                <w:rFonts w:ascii="Arial" w:hAnsi="Arial" w:cs="Arial"/>
                <w:i/>
                <w:color w:val="2E74B5" w:themeColor="accent1" w:themeShade="BF"/>
                <w:sz w:val="20"/>
                <w:szCs w:val="20"/>
              </w:rPr>
            </w:pPr>
            <w:r w:rsidRPr="000B5D95">
              <w:rPr>
                <w:rFonts w:ascii="Arial" w:hAnsi="Arial" w:cs="Arial"/>
                <w:i/>
                <w:color w:val="2E74B5" w:themeColor="accent1" w:themeShade="BF"/>
                <w:sz w:val="20"/>
                <w:szCs w:val="20"/>
              </w:rPr>
              <w:t xml:space="preserve">-Monto que cubre el servicio </w:t>
            </w:r>
            <w:proofErr w:type="spellStart"/>
            <w:r w:rsidRPr="000B5D95">
              <w:rPr>
                <w:rFonts w:ascii="Arial" w:hAnsi="Arial" w:cs="Arial"/>
                <w:i/>
                <w:color w:val="2E74B5" w:themeColor="accent1" w:themeShade="BF"/>
                <w:sz w:val="20"/>
                <w:szCs w:val="20"/>
              </w:rPr>
              <w:t>medico</w:t>
            </w:r>
            <w:proofErr w:type="spellEnd"/>
            <w:r w:rsidRPr="000B5D95">
              <w:rPr>
                <w:rFonts w:ascii="Arial" w:hAnsi="Arial" w:cs="Arial"/>
                <w:i/>
                <w:color w:val="2E74B5" w:themeColor="accent1" w:themeShade="BF"/>
                <w:sz w:val="20"/>
                <w:szCs w:val="20"/>
              </w:rPr>
              <w:t xml:space="preserve"> anual al trabajador</w:t>
            </w:r>
          </w:p>
          <w:p w:rsidR="00A378A9" w:rsidRPr="000B5D95" w:rsidRDefault="00A378A9" w:rsidP="00E020E8">
            <w:pPr>
              <w:spacing w:after="0"/>
              <w:ind w:firstLine="709"/>
              <w:jc w:val="both"/>
              <w:rPr>
                <w:rFonts w:ascii="Arial" w:hAnsi="Arial" w:cs="Arial"/>
                <w:i/>
                <w:color w:val="2E74B5" w:themeColor="accent1" w:themeShade="BF"/>
                <w:sz w:val="20"/>
                <w:szCs w:val="20"/>
              </w:rPr>
            </w:pPr>
          </w:p>
          <w:p w:rsidR="00A378A9" w:rsidRPr="000B5D95" w:rsidRDefault="00A378A9" w:rsidP="00E020E8">
            <w:pPr>
              <w:spacing w:after="0"/>
              <w:ind w:firstLine="709"/>
              <w:jc w:val="both"/>
              <w:rPr>
                <w:rFonts w:ascii="Arial" w:hAnsi="Arial" w:cs="Arial"/>
                <w:i/>
                <w:color w:val="2E74B5" w:themeColor="accent1" w:themeShade="BF"/>
                <w:sz w:val="20"/>
                <w:szCs w:val="20"/>
              </w:rPr>
            </w:pPr>
            <w:r w:rsidRPr="000B5D95">
              <w:rPr>
                <w:rFonts w:ascii="Arial" w:hAnsi="Arial" w:cs="Arial"/>
                <w:i/>
                <w:color w:val="2E74B5" w:themeColor="accent1" w:themeShade="BF"/>
                <w:sz w:val="20"/>
                <w:szCs w:val="20"/>
              </w:rPr>
              <w:t xml:space="preserve">5.- </w:t>
            </w:r>
            <w:proofErr w:type="gramStart"/>
            <w:r w:rsidRPr="000B5D95">
              <w:rPr>
                <w:rFonts w:ascii="Arial" w:hAnsi="Arial" w:cs="Arial"/>
                <w:i/>
                <w:color w:val="2E74B5" w:themeColor="accent1" w:themeShade="BF"/>
                <w:sz w:val="20"/>
                <w:szCs w:val="20"/>
              </w:rPr>
              <w:t>Monto anual que se pagó por el servicio médico que brinda gobierno del estado a sus trabajadores de los años 2016, 2017 y el estimado a pagar para el periodo 2018?</w:t>
            </w:r>
            <w:proofErr w:type="gramEnd"/>
          </w:p>
          <w:p w:rsidR="00A378A9" w:rsidRPr="000B5D95" w:rsidRDefault="00A378A9" w:rsidP="00E020E8">
            <w:pPr>
              <w:spacing w:after="0"/>
              <w:ind w:firstLine="709"/>
              <w:jc w:val="both"/>
              <w:rPr>
                <w:rFonts w:ascii="Arial" w:hAnsi="Arial" w:cs="Arial"/>
                <w:i/>
                <w:color w:val="2E74B5" w:themeColor="accent1" w:themeShade="BF"/>
                <w:sz w:val="20"/>
                <w:szCs w:val="20"/>
              </w:rPr>
            </w:pPr>
          </w:p>
          <w:p w:rsidR="00A378A9" w:rsidRPr="000B5D95" w:rsidRDefault="00A378A9" w:rsidP="00E020E8">
            <w:pPr>
              <w:spacing w:after="0"/>
              <w:ind w:firstLine="709"/>
              <w:jc w:val="both"/>
              <w:rPr>
                <w:rFonts w:ascii="Arial" w:hAnsi="Arial" w:cs="Arial"/>
                <w:i/>
                <w:color w:val="2E74B5" w:themeColor="accent1" w:themeShade="BF"/>
                <w:sz w:val="20"/>
                <w:szCs w:val="20"/>
              </w:rPr>
            </w:pPr>
            <w:r w:rsidRPr="000B5D95">
              <w:rPr>
                <w:rFonts w:ascii="Arial" w:hAnsi="Arial" w:cs="Arial"/>
                <w:i/>
                <w:color w:val="2E74B5" w:themeColor="accent1" w:themeShade="BF"/>
                <w:sz w:val="20"/>
                <w:szCs w:val="20"/>
              </w:rPr>
              <w:t xml:space="preserve">6.- Funcionario facultado para dar altas a los derechohabientes trabajadores, y en </w:t>
            </w:r>
            <w:proofErr w:type="gramStart"/>
            <w:r w:rsidRPr="000B5D95">
              <w:rPr>
                <w:rFonts w:ascii="Arial" w:hAnsi="Arial" w:cs="Arial"/>
                <w:i/>
                <w:color w:val="2E74B5" w:themeColor="accent1" w:themeShade="BF"/>
                <w:sz w:val="20"/>
                <w:szCs w:val="20"/>
              </w:rPr>
              <w:t>sus caso</w:t>
            </w:r>
            <w:proofErr w:type="gramEnd"/>
            <w:r w:rsidRPr="000B5D95">
              <w:rPr>
                <w:rFonts w:ascii="Arial" w:hAnsi="Arial" w:cs="Arial"/>
                <w:i/>
                <w:color w:val="2E74B5" w:themeColor="accent1" w:themeShade="BF"/>
                <w:sz w:val="20"/>
                <w:szCs w:val="20"/>
              </w:rPr>
              <w:t xml:space="preserve"> a personas con parentesco que no tienen el derecho al servicio </w:t>
            </w:r>
            <w:proofErr w:type="spellStart"/>
            <w:r w:rsidRPr="000B5D95">
              <w:rPr>
                <w:rFonts w:ascii="Arial" w:hAnsi="Arial" w:cs="Arial"/>
                <w:i/>
                <w:color w:val="2E74B5" w:themeColor="accent1" w:themeShade="BF"/>
                <w:sz w:val="20"/>
                <w:szCs w:val="20"/>
              </w:rPr>
              <w:t>medico</w:t>
            </w:r>
            <w:proofErr w:type="spellEnd"/>
            <w:r w:rsidRPr="000B5D95">
              <w:rPr>
                <w:rFonts w:ascii="Arial" w:hAnsi="Arial" w:cs="Arial"/>
                <w:i/>
                <w:color w:val="2E74B5" w:themeColor="accent1" w:themeShade="BF"/>
                <w:sz w:val="20"/>
                <w:szCs w:val="20"/>
              </w:rPr>
              <w:t xml:space="preserve">? …”    </w:t>
            </w:r>
          </w:p>
          <w:p w:rsidR="00A378A9" w:rsidRPr="000B5D95" w:rsidRDefault="00A378A9" w:rsidP="00E020E8">
            <w:pPr>
              <w:spacing w:after="0"/>
              <w:ind w:firstLine="709"/>
              <w:jc w:val="both"/>
              <w:rPr>
                <w:rFonts w:ascii="Arial" w:hAnsi="Arial" w:cs="Arial"/>
                <w:b/>
                <w:color w:val="2E74B5" w:themeColor="accent1" w:themeShade="BF"/>
                <w:sz w:val="20"/>
                <w:szCs w:val="20"/>
              </w:rPr>
            </w:pPr>
          </w:p>
          <w:p w:rsidR="00A378A9" w:rsidRPr="000B5D95" w:rsidRDefault="00A378A9" w:rsidP="00E020E8">
            <w:pPr>
              <w:spacing w:after="0"/>
              <w:jc w:val="both"/>
              <w:rPr>
                <w:rFonts w:ascii="Arial" w:hAnsi="Arial" w:cs="Arial"/>
                <w:i/>
                <w:color w:val="2E74B5" w:themeColor="accent1" w:themeShade="BF"/>
                <w:sz w:val="20"/>
                <w:szCs w:val="20"/>
              </w:rPr>
            </w:pPr>
          </w:p>
        </w:tc>
        <w:tc>
          <w:tcPr>
            <w:tcW w:w="2611" w:type="dxa"/>
          </w:tcPr>
          <w:p w:rsidR="00A378A9" w:rsidRPr="000B5D95" w:rsidRDefault="00A378A9" w:rsidP="00E020E8">
            <w:pPr>
              <w:spacing w:after="0"/>
              <w:jc w:val="both"/>
              <w:rPr>
                <w:rFonts w:ascii="Arial" w:hAnsi="Arial" w:cs="Arial"/>
                <w:color w:val="2E74B5" w:themeColor="accent1" w:themeShade="BF"/>
                <w:sz w:val="20"/>
                <w:szCs w:val="20"/>
              </w:rPr>
            </w:pPr>
            <w:r w:rsidRPr="000B5D95">
              <w:rPr>
                <w:rFonts w:ascii="Arial" w:hAnsi="Arial" w:cs="Arial"/>
                <w:color w:val="2E74B5" w:themeColor="accent1" w:themeShade="BF"/>
                <w:sz w:val="20"/>
                <w:szCs w:val="20"/>
              </w:rPr>
              <w:lastRenderedPageBreak/>
              <w:t xml:space="preserve">ARTICULO 41. A la Oficialía Mayor corresponde el despacho de los siguientes asuntos: </w:t>
            </w:r>
          </w:p>
          <w:p w:rsidR="00A378A9" w:rsidRPr="000B5D95" w:rsidRDefault="00A378A9" w:rsidP="00E020E8">
            <w:pPr>
              <w:spacing w:after="0"/>
              <w:jc w:val="both"/>
              <w:rPr>
                <w:rFonts w:ascii="Arial" w:hAnsi="Arial" w:cs="Arial"/>
                <w:color w:val="2E74B5" w:themeColor="accent1" w:themeShade="BF"/>
                <w:sz w:val="20"/>
                <w:szCs w:val="20"/>
              </w:rPr>
            </w:pPr>
            <w:r w:rsidRPr="000B5D95">
              <w:rPr>
                <w:rFonts w:ascii="Arial" w:hAnsi="Arial" w:cs="Arial"/>
                <w:color w:val="2E74B5" w:themeColor="accent1" w:themeShade="BF"/>
                <w:sz w:val="20"/>
                <w:szCs w:val="20"/>
              </w:rPr>
              <w:t>[…]</w:t>
            </w:r>
          </w:p>
          <w:p w:rsidR="00A378A9" w:rsidRPr="000B5D95" w:rsidRDefault="00A378A9" w:rsidP="00E020E8">
            <w:pPr>
              <w:spacing w:after="0"/>
              <w:jc w:val="both"/>
              <w:rPr>
                <w:rFonts w:ascii="Arial" w:hAnsi="Arial" w:cs="Arial"/>
                <w:i/>
                <w:color w:val="2E74B5" w:themeColor="accent1" w:themeShade="BF"/>
                <w:sz w:val="20"/>
                <w:szCs w:val="20"/>
              </w:rPr>
            </w:pPr>
            <w:r w:rsidRPr="000B5D95">
              <w:rPr>
                <w:rFonts w:ascii="Arial" w:hAnsi="Arial" w:cs="Arial"/>
                <w:i/>
                <w:color w:val="2E74B5" w:themeColor="accent1" w:themeShade="BF"/>
                <w:sz w:val="20"/>
                <w:szCs w:val="20"/>
              </w:rPr>
              <w:t>XI. Atender las necesidades de los servicios médicos, asistenciales, sociales y culturales del personal al servicio del Gobierno del Estado, a través de las instituciones con las cuales se conviniere su prestación;</w:t>
            </w:r>
          </w:p>
        </w:tc>
        <w:tc>
          <w:tcPr>
            <w:tcW w:w="2835" w:type="dxa"/>
          </w:tcPr>
          <w:p w:rsidR="00A378A9" w:rsidRPr="000B5D95" w:rsidRDefault="00BF3DF4" w:rsidP="00E020E8">
            <w:pPr>
              <w:spacing w:after="0"/>
              <w:jc w:val="both"/>
              <w:rPr>
                <w:rFonts w:ascii="Arial" w:hAnsi="Arial" w:cs="Arial"/>
                <w:color w:val="2E74B5" w:themeColor="accent1" w:themeShade="BF"/>
                <w:sz w:val="20"/>
                <w:szCs w:val="20"/>
              </w:rPr>
            </w:pPr>
            <w:r w:rsidRPr="000B5D95">
              <w:rPr>
                <w:rFonts w:ascii="Arial" w:hAnsi="Arial" w:cs="Arial"/>
                <w:color w:val="2E74B5" w:themeColor="accent1" w:themeShade="BF"/>
                <w:sz w:val="20"/>
                <w:szCs w:val="20"/>
              </w:rPr>
              <w:t xml:space="preserve">ARTÍCULO 22. La Dirección del Servicio Médico tendrá las siguientes funciones: I. Coordinar la atención del servicio médico que se proporciona a los servidores públicos de base y sus beneficiarios con las instituciones de salud privadas que tienen concertado; II. Realizar campañas preventivas de salud en las dependencias de la administración pública estatal; III. Registrar, controlar y autorizar las consultas médicas, estudios de laboratorio, intervenciones quirúrgicas, ópticas, entre otros de la misma naturaleza en instituciones de salud privadas, que solicitan los servidores públicos que tienen derecho a dicha prestación; IV. Recibir, registrar en el sistema y dar seguimiento a las incapacidades médicas que presenten los servidores públicos; V. Elaborar el expediente en el que se sustentarán los contratos que se suscribirán con hospitales, médicos y proveedores de bienes y servicios relacionados con el otorgamiento del servicio médico a los trabajadores de </w:t>
            </w:r>
            <w:proofErr w:type="gramStart"/>
            <w:r w:rsidRPr="000B5D95">
              <w:rPr>
                <w:rFonts w:ascii="Arial" w:hAnsi="Arial" w:cs="Arial"/>
                <w:color w:val="2E74B5" w:themeColor="accent1" w:themeShade="BF"/>
                <w:sz w:val="20"/>
                <w:szCs w:val="20"/>
              </w:rPr>
              <w:t>base</w:t>
            </w:r>
            <w:proofErr w:type="gramEnd"/>
            <w:r w:rsidRPr="000B5D95">
              <w:rPr>
                <w:rFonts w:ascii="Arial" w:hAnsi="Arial" w:cs="Arial"/>
                <w:color w:val="2E74B5" w:themeColor="accent1" w:themeShade="BF"/>
                <w:sz w:val="20"/>
                <w:szCs w:val="20"/>
              </w:rPr>
              <w:t xml:space="preserve"> así como participar en el procedimiento de licitación correspondiente a cada uno; VI. Dar seguimiento al cumplimiento de los compromisos contraídos en los contratos de prestación de servicios médicos y otros de naturaleza análoga en cuanto a calidad, tiempo y costo y, de ser el caso, informar a la superioridad de la inobservancia del prestador, para que se proceda en los </w:t>
            </w:r>
            <w:r w:rsidRPr="000B5D95">
              <w:rPr>
                <w:rFonts w:ascii="Arial" w:hAnsi="Arial" w:cs="Arial"/>
                <w:color w:val="2E74B5" w:themeColor="accent1" w:themeShade="BF"/>
                <w:sz w:val="20"/>
                <w:szCs w:val="20"/>
              </w:rPr>
              <w:lastRenderedPageBreak/>
              <w:t>términos previstos en los contratos; VII. Confirmar que las personas físicas y morales con los que se formalice contrato de prestación de servicios médicos, ostenten el carácter de proveedores de servicios y cumplan con los requisitos que ordena la Ley de Adquisiciones del Estado; VIII. Recibir, registrar, atender, archivar, controlar y dar seguimiento a las incapacidades médicas que presentan los servidores públicos de base; IX. Llevar un control de gestión que incluya citas, consultas de primer contacto, consultas con especialistas, recetas, estudios de laboratorio, número de intervenciones, materiales y órdenes de pago, entre otros conceptos básicos; X. Recibir, capturar, revisar, validar, tramitar y dar seguimiento hasta su conclusión, a las caratulas de pago que se respaldan con las facturas correspondientes al gasto originado por la prestación de los servicios médicos ya sea a favor de hospitales, médicos, y en general a los proveedores de bienes y servicios; XI. Elaborar, proponer y, en su caso, operar los procedimientos para la prestación de los servicios médicos, y XII. Realizar revisiones médicas y, en su caso, diagnosticar, la procedencia o no de turnar a los servidores públicos de base para la atención de médicos especialistas.</w:t>
            </w:r>
          </w:p>
        </w:tc>
      </w:tr>
    </w:tbl>
    <w:p w:rsidR="00CA00E7" w:rsidRPr="00E020E8" w:rsidRDefault="00CA00E7" w:rsidP="00E020E8">
      <w:pPr>
        <w:spacing w:after="0"/>
        <w:rPr>
          <w:rFonts w:ascii="Arial" w:hAnsi="Arial" w:cs="Arial"/>
          <w:i/>
          <w:color w:val="2E74B5" w:themeColor="accent1" w:themeShade="BF"/>
          <w:sz w:val="20"/>
          <w:szCs w:val="20"/>
        </w:rPr>
      </w:pPr>
    </w:p>
    <w:p w:rsidR="00A378A9" w:rsidRPr="00E020E8" w:rsidRDefault="00A378A9" w:rsidP="00E020E8">
      <w:pPr>
        <w:pStyle w:val="corte4fondo"/>
        <w:spacing w:line="276" w:lineRule="auto"/>
        <w:ind w:firstLine="708"/>
        <w:rPr>
          <w:rFonts w:cs="Arial"/>
          <w:color w:val="2E74B5" w:themeColor="accent1" w:themeShade="BF"/>
          <w:sz w:val="24"/>
          <w:szCs w:val="24"/>
        </w:rPr>
      </w:pPr>
      <w:r w:rsidRPr="00E020E8">
        <w:rPr>
          <w:rFonts w:cs="Arial"/>
          <w:color w:val="2E74B5" w:themeColor="accent1" w:themeShade="BF"/>
          <w:sz w:val="24"/>
          <w:szCs w:val="24"/>
        </w:rPr>
        <w:t>De lo anterior, está claro que de las disposiciones vistas hay una obligación de hacer, en el caso de la información que le fue solicitada.</w:t>
      </w:r>
    </w:p>
    <w:p w:rsidR="00A378A9" w:rsidRPr="00E020E8" w:rsidRDefault="00A378A9" w:rsidP="00E020E8">
      <w:pPr>
        <w:pStyle w:val="corte4fondo"/>
        <w:spacing w:line="276" w:lineRule="auto"/>
        <w:ind w:firstLine="0"/>
        <w:rPr>
          <w:rFonts w:cs="Arial"/>
          <w:color w:val="2E74B5" w:themeColor="accent1" w:themeShade="BF"/>
          <w:sz w:val="24"/>
          <w:szCs w:val="24"/>
        </w:rPr>
      </w:pPr>
    </w:p>
    <w:p w:rsidR="00D942BA" w:rsidRDefault="00A378A9" w:rsidP="00E020E8">
      <w:pPr>
        <w:spacing w:after="0"/>
        <w:jc w:val="both"/>
        <w:rPr>
          <w:rFonts w:ascii="Arial" w:hAnsi="Arial" w:cs="Arial"/>
          <w:color w:val="2E74B5" w:themeColor="accent1" w:themeShade="BF"/>
          <w:sz w:val="24"/>
          <w:szCs w:val="24"/>
        </w:rPr>
      </w:pPr>
      <w:r w:rsidRPr="00E020E8">
        <w:rPr>
          <w:rFonts w:ascii="Arial" w:hAnsi="Arial" w:cs="Arial"/>
          <w:color w:val="2E74B5" w:themeColor="accent1" w:themeShade="BF"/>
          <w:sz w:val="24"/>
          <w:szCs w:val="24"/>
        </w:rPr>
        <w:tab/>
      </w:r>
      <w:r w:rsidR="00D942BA" w:rsidRPr="00E020E8">
        <w:rPr>
          <w:rFonts w:ascii="Arial" w:hAnsi="Arial" w:cs="Arial"/>
          <w:color w:val="2E74B5" w:themeColor="accent1" w:themeShade="BF"/>
          <w:sz w:val="24"/>
          <w:szCs w:val="24"/>
        </w:rPr>
        <w:t xml:space="preserve">Por lo expuesto a lo largo del presente Considerando, se estima que la respuesta del Sujeto Obligado se encontró alejada de los principios de congruencia y exhaustividad previstos en el Código Procesal Administrativo para el Estado de </w:t>
      </w:r>
      <w:r w:rsidR="00D942BA" w:rsidRPr="00E020E8">
        <w:rPr>
          <w:rFonts w:ascii="Arial" w:hAnsi="Arial" w:cs="Arial"/>
          <w:color w:val="2E74B5" w:themeColor="accent1" w:themeShade="BF"/>
          <w:sz w:val="24"/>
          <w:szCs w:val="24"/>
        </w:rPr>
        <w:lastRenderedPageBreak/>
        <w:t>San Luis Potosí aplicado de manera supletoria de conformidad con el artículo 1 de la Ley de la materia, que a la letra señala:</w:t>
      </w:r>
    </w:p>
    <w:p w:rsidR="000B5D95" w:rsidRPr="00E020E8" w:rsidRDefault="000B5D95" w:rsidP="00E020E8">
      <w:pPr>
        <w:spacing w:after="0"/>
        <w:jc w:val="both"/>
        <w:rPr>
          <w:rFonts w:ascii="Arial" w:hAnsi="Arial" w:cs="Arial"/>
          <w:color w:val="2E74B5" w:themeColor="accent1" w:themeShade="BF"/>
          <w:sz w:val="24"/>
          <w:szCs w:val="24"/>
        </w:rPr>
      </w:pPr>
    </w:p>
    <w:p w:rsidR="00D942BA" w:rsidRPr="00E020E8" w:rsidRDefault="00D942BA" w:rsidP="00E020E8">
      <w:pPr>
        <w:spacing w:after="0"/>
        <w:ind w:firstLine="708"/>
        <w:jc w:val="both"/>
        <w:rPr>
          <w:rFonts w:ascii="Arial" w:hAnsi="Arial" w:cs="Arial"/>
          <w:i/>
          <w:color w:val="2E74B5" w:themeColor="accent1" w:themeShade="BF"/>
        </w:rPr>
      </w:pPr>
      <w:r w:rsidRPr="00E020E8">
        <w:rPr>
          <w:rFonts w:ascii="Arial" w:hAnsi="Arial" w:cs="Arial"/>
          <w:i/>
          <w:color w:val="2E74B5" w:themeColor="accent1" w:themeShade="BF"/>
        </w:rPr>
        <w:t>“</w:t>
      </w:r>
      <w:r w:rsidRPr="00E020E8">
        <w:rPr>
          <w:rFonts w:ascii="Arial" w:hAnsi="Arial" w:cs="Arial"/>
          <w:b/>
          <w:i/>
          <w:color w:val="2E74B5" w:themeColor="accent1" w:themeShade="BF"/>
        </w:rPr>
        <w:t>ARTÍCULO 165.</w:t>
      </w:r>
      <w:r w:rsidRPr="00E020E8">
        <w:rPr>
          <w:rFonts w:ascii="Arial" w:hAnsi="Arial" w:cs="Arial"/>
          <w:i/>
          <w:color w:val="2E74B5" w:themeColor="accent1" w:themeShade="BF"/>
        </w:rPr>
        <w:t xml:space="preserve"> Son requisitos del acto administrativo:</w:t>
      </w:r>
    </w:p>
    <w:p w:rsidR="00D942BA" w:rsidRDefault="00D942BA" w:rsidP="00E020E8">
      <w:pPr>
        <w:spacing w:after="0"/>
        <w:ind w:firstLine="708"/>
        <w:jc w:val="both"/>
        <w:rPr>
          <w:rFonts w:ascii="Arial" w:hAnsi="Arial" w:cs="Arial"/>
          <w:i/>
          <w:color w:val="2E74B5" w:themeColor="accent1" w:themeShade="BF"/>
        </w:rPr>
      </w:pPr>
      <w:r w:rsidRPr="00E020E8">
        <w:rPr>
          <w:rFonts w:ascii="Arial" w:hAnsi="Arial" w:cs="Arial"/>
          <w:i/>
          <w:color w:val="2E74B5" w:themeColor="accent1" w:themeShade="BF"/>
        </w:rPr>
        <w:t>III. Que se expida de manera congruente con lo solicitado y resolver expresamente todos los puntos propuestos por el interesado o previstos por las normas.”</w:t>
      </w:r>
    </w:p>
    <w:p w:rsidR="000B5D95" w:rsidRPr="00E020E8" w:rsidRDefault="000B5D95" w:rsidP="00E020E8">
      <w:pPr>
        <w:spacing w:after="0"/>
        <w:ind w:firstLine="708"/>
        <w:jc w:val="both"/>
        <w:rPr>
          <w:rFonts w:ascii="Arial" w:hAnsi="Arial" w:cs="Arial"/>
          <w:i/>
          <w:color w:val="2E74B5" w:themeColor="accent1" w:themeShade="BF"/>
        </w:rPr>
      </w:pPr>
    </w:p>
    <w:p w:rsidR="00D942BA" w:rsidRPr="00E020E8" w:rsidRDefault="00D942BA" w:rsidP="00E020E8">
      <w:pPr>
        <w:spacing w:after="0"/>
        <w:ind w:firstLine="708"/>
        <w:jc w:val="both"/>
        <w:rPr>
          <w:rFonts w:ascii="Arial" w:hAnsi="Arial" w:cs="Arial"/>
          <w:color w:val="2E74B5" w:themeColor="accent1" w:themeShade="BF"/>
          <w:sz w:val="24"/>
          <w:szCs w:val="24"/>
        </w:rPr>
      </w:pPr>
      <w:r w:rsidRPr="00E020E8">
        <w:rPr>
          <w:rFonts w:ascii="Arial" w:hAnsi="Arial" w:cs="Arial"/>
          <w:color w:val="2E74B5" w:themeColor="accent1" w:themeShade="BF"/>
          <w:sz w:val="24"/>
          <w:szCs w:val="24"/>
        </w:rPr>
        <w:t xml:space="preserve">De acuerdo con el artículo transcrito, son considerados válidos los actos que reúnan, entre otros elementos, los principios de congruencia y exhaustividad, entendiendo por lo primero que las consideraciones vertidas en la respuesta sean armónicas entre sí, no se contradigan, y </w:t>
      </w:r>
      <w:r w:rsidRPr="00E020E8">
        <w:rPr>
          <w:rFonts w:ascii="Arial" w:hAnsi="Arial" w:cs="Arial"/>
          <w:b/>
          <w:bCs/>
          <w:color w:val="2E74B5" w:themeColor="accent1" w:themeShade="BF"/>
          <w:sz w:val="24"/>
          <w:szCs w:val="24"/>
        </w:rPr>
        <w:t>guarden concordancia entre lo solicitado y la respuesta</w:t>
      </w:r>
      <w:r w:rsidRPr="00E020E8">
        <w:rPr>
          <w:rFonts w:ascii="Arial" w:hAnsi="Arial" w:cs="Arial"/>
          <w:color w:val="2E74B5" w:themeColor="accent1" w:themeShade="BF"/>
          <w:sz w:val="24"/>
          <w:szCs w:val="24"/>
        </w:rPr>
        <w:t>; y por lo segundo, que se pronuncie expresamente sobre cada punto, lo cual en la especie no sucedió. En el mismo sentido, se ha pronunciado el Poder Judicial de la Federación en la siguiente Jurisprudencia:</w:t>
      </w:r>
    </w:p>
    <w:p w:rsidR="00D942BA" w:rsidRPr="00E020E8" w:rsidRDefault="00D942BA" w:rsidP="00E020E8">
      <w:pPr>
        <w:pStyle w:val="Default"/>
        <w:spacing w:line="276" w:lineRule="auto"/>
        <w:jc w:val="both"/>
        <w:rPr>
          <w:i/>
          <w:iCs/>
          <w:color w:val="2E74B5" w:themeColor="accent1" w:themeShade="BF"/>
          <w:sz w:val="22"/>
          <w:szCs w:val="22"/>
        </w:rPr>
      </w:pPr>
      <w:r w:rsidRPr="00E020E8">
        <w:rPr>
          <w:i/>
          <w:iCs/>
          <w:color w:val="2E74B5" w:themeColor="accent1" w:themeShade="BF"/>
          <w:sz w:val="22"/>
          <w:szCs w:val="22"/>
        </w:rPr>
        <w:t xml:space="preserve">“Novena Época, Registro: </w:t>
      </w:r>
      <w:proofErr w:type="gramStart"/>
      <w:r w:rsidRPr="00E020E8">
        <w:rPr>
          <w:i/>
          <w:iCs/>
          <w:color w:val="2E74B5" w:themeColor="accent1" w:themeShade="BF"/>
          <w:sz w:val="22"/>
          <w:szCs w:val="22"/>
        </w:rPr>
        <w:t xml:space="preserve">178783 </w:t>
      </w:r>
      <w:r w:rsidRPr="00E020E8">
        <w:rPr>
          <w:i/>
          <w:color w:val="2E74B5" w:themeColor="accent1" w:themeShade="BF"/>
          <w:sz w:val="22"/>
          <w:szCs w:val="22"/>
        </w:rPr>
        <w:t>,</w:t>
      </w:r>
      <w:r w:rsidRPr="00E020E8">
        <w:rPr>
          <w:i/>
          <w:iCs/>
          <w:color w:val="2E74B5" w:themeColor="accent1" w:themeShade="BF"/>
          <w:sz w:val="22"/>
          <w:szCs w:val="22"/>
        </w:rPr>
        <w:t>Instancia</w:t>
      </w:r>
      <w:proofErr w:type="gramEnd"/>
      <w:r w:rsidRPr="00E020E8">
        <w:rPr>
          <w:i/>
          <w:iCs/>
          <w:color w:val="2E74B5" w:themeColor="accent1" w:themeShade="BF"/>
          <w:sz w:val="22"/>
          <w:szCs w:val="22"/>
        </w:rPr>
        <w:t xml:space="preserve">: Primera Sala </w:t>
      </w:r>
      <w:r w:rsidRPr="00E020E8">
        <w:rPr>
          <w:i/>
          <w:color w:val="2E74B5" w:themeColor="accent1" w:themeShade="BF"/>
          <w:sz w:val="22"/>
          <w:szCs w:val="22"/>
        </w:rPr>
        <w:t>,</w:t>
      </w:r>
      <w:r w:rsidRPr="00E020E8">
        <w:rPr>
          <w:b/>
          <w:bCs/>
          <w:i/>
          <w:iCs/>
          <w:color w:val="2E74B5" w:themeColor="accent1" w:themeShade="BF"/>
          <w:sz w:val="22"/>
          <w:szCs w:val="22"/>
        </w:rPr>
        <w:t xml:space="preserve">Jurisprudencia </w:t>
      </w:r>
      <w:r w:rsidRPr="00E020E8">
        <w:rPr>
          <w:i/>
          <w:iCs/>
          <w:color w:val="2E74B5" w:themeColor="accent1" w:themeShade="BF"/>
          <w:sz w:val="22"/>
          <w:szCs w:val="22"/>
        </w:rPr>
        <w:t xml:space="preserve">,Fuente: Semanario Judicial de la Federación y su Gaceta </w:t>
      </w:r>
      <w:r w:rsidRPr="00E020E8">
        <w:rPr>
          <w:i/>
          <w:color w:val="2E74B5" w:themeColor="accent1" w:themeShade="BF"/>
          <w:sz w:val="22"/>
          <w:szCs w:val="22"/>
        </w:rPr>
        <w:t>,</w:t>
      </w:r>
      <w:r w:rsidRPr="00E020E8">
        <w:rPr>
          <w:i/>
          <w:iCs/>
          <w:color w:val="2E74B5" w:themeColor="accent1" w:themeShade="BF"/>
          <w:sz w:val="22"/>
          <w:szCs w:val="22"/>
        </w:rPr>
        <w:t>XXI, Abril de 2005.</w:t>
      </w:r>
    </w:p>
    <w:p w:rsidR="00D942BA" w:rsidRPr="00E020E8" w:rsidRDefault="00D942BA" w:rsidP="00E020E8">
      <w:pPr>
        <w:pStyle w:val="Default"/>
        <w:spacing w:line="276" w:lineRule="auto"/>
        <w:jc w:val="both"/>
        <w:rPr>
          <w:i/>
          <w:color w:val="2E74B5" w:themeColor="accent1" w:themeShade="BF"/>
          <w:sz w:val="22"/>
          <w:szCs w:val="22"/>
        </w:rPr>
      </w:pPr>
      <w:r w:rsidRPr="00E020E8">
        <w:rPr>
          <w:i/>
          <w:iCs/>
          <w:color w:val="2E74B5" w:themeColor="accent1" w:themeShade="BF"/>
          <w:sz w:val="22"/>
          <w:szCs w:val="22"/>
        </w:rPr>
        <w:t xml:space="preserve"> </w:t>
      </w:r>
    </w:p>
    <w:p w:rsidR="00D942BA" w:rsidRPr="00E020E8" w:rsidRDefault="00D942BA" w:rsidP="00E020E8">
      <w:pPr>
        <w:pStyle w:val="Default"/>
        <w:spacing w:line="276" w:lineRule="auto"/>
        <w:jc w:val="both"/>
        <w:rPr>
          <w:i/>
          <w:color w:val="2E74B5" w:themeColor="accent1" w:themeShade="BF"/>
          <w:sz w:val="22"/>
          <w:szCs w:val="22"/>
        </w:rPr>
      </w:pPr>
      <w:r w:rsidRPr="00E020E8">
        <w:rPr>
          <w:b/>
          <w:bCs/>
          <w:i/>
          <w:iCs/>
          <w:color w:val="2E74B5" w:themeColor="accent1" w:themeShade="BF"/>
          <w:sz w:val="22"/>
          <w:szCs w:val="22"/>
        </w:rPr>
        <w:t xml:space="preserve">CONGRUENCIA Y EXHAUSTIVIDAD EN SENTENCIAS DICTADAS EN AMPARO CONTRA LEYES. ALCANCE DE ESTOS PRINCIPIOS. </w:t>
      </w:r>
      <w:r w:rsidRPr="00E020E8">
        <w:rPr>
          <w:i/>
          <w:iCs/>
          <w:color w:val="2E74B5" w:themeColor="accent1" w:themeShade="BF"/>
          <w:sz w:val="22"/>
          <w:szCs w:val="22"/>
        </w:rPr>
        <w:t xml:space="preserve">Los principios de congruencia y exhaustividad que rigen las sentencias en amparo contra leyes y que se desprenden de los artículos 77 y 78 de la Ley de Amparo, están referidos a que éstas no sólo sean congruentes consigo mismas, sino también con la </w:t>
      </w:r>
      <w:proofErr w:type="spellStart"/>
      <w:r w:rsidRPr="00E020E8">
        <w:rPr>
          <w:i/>
          <w:iCs/>
          <w:color w:val="2E74B5" w:themeColor="accent1" w:themeShade="BF"/>
          <w:sz w:val="22"/>
          <w:szCs w:val="22"/>
        </w:rPr>
        <w:t>litis</w:t>
      </w:r>
      <w:proofErr w:type="spellEnd"/>
      <w:r w:rsidRPr="00E020E8">
        <w:rPr>
          <w:i/>
          <w:iCs/>
          <w:color w:val="2E74B5" w:themeColor="accent1" w:themeShade="BF"/>
          <w:sz w:val="22"/>
          <w:szCs w:val="22"/>
        </w:rPr>
        <w:t xml:space="preserve"> y con la demanda de amparo, apreciando las pruebas conducentes y resolviendo sin omitir nada, ni añadir cuestiones no hechas valer, ni expresar consideraciones contrarias entre sí o con los puntos resolutivos, lo que obliga al juzgador, a pronunciarse sobre todas y cada una de las pretensiones de los quejosos, analizando, en su caso, la constitucionalidad o inconstitucionalidad de los preceptos legales reclamados. </w:t>
      </w:r>
    </w:p>
    <w:p w:rsidR="00D942BA" w:rsidRPr="00E020E8" w:rsidRDefault="00D942BA" w:rsidP="00E020E8">
      <w:pPr>
        <w:pStyle w:val="Default"/>
        <w:spacing w:line="276" w:lineRule="auto"/>
        <w:jc w:val="both"/>
        <w:rPr>
          <w:i/>
          <w:color w:val="2E74B5" w:themeColor="accent1" w:themeShade="BF"/>
          <w:sz w:val="22"/>
          <w:szCs w:val="22"/>
        </w:rPr>
      </w:pPr>
      <w:r w:rsidRPr="00E020E8">
        <w:rPr>
          <w:i/>
          <w:iCs/>
          <w:color w:val="2E74B5" w:themeColor="accent1" w:themeShade="BF"/>
          <w:sz w:val="22"/>
          <w:szCs w:val="22"/>
        </w:rPr>
        <w:t xml:space="preserve">Amparo en revisión 383/2000. Administradora de Centros Comerciales Santa Fe, S.A. de C.V. 24 de mayo de 2000. Cinco votos. Ponente: Olga Sánchez Cordero de García Villegas. Secretaria: Leticia Flores Díaz. </w:t>
      </w:r>
    </w:p>
    <w:p w:rsidR="00D942BA" w:rsidRPr="00E020E8" w:rsidRDefault="00D942BA" w:rsidP="00E020E8">
      <w:pPr>
        <w:pStyle w:val="Default"/>
        <w:spacing w:line="276" w:lineRule="auto"/>
        <w:jc w:val="both"/>
        <w:rPr>
          <w:i/>
          <w:color w:val="2E74B5" w:themeColor="accent1" w:themeShade="BF"/>
          <w:sz w:val="22"/>
          <w:szCs w:val="22"/>
        </w:rPr>
      </w:pPr>
      <w:r w:rsidRPr="00E020E8">
        <w:rPr>
          <w:i/>
          <w:iCs/>
          <w:color w:val="2E74B5" w:themeColor="accent1" w:themeShade="BF"/>
          <w:sz w:val="22"/>
          <w:szCs w:val="22"/>
        </w:rPr>
        <w:t xml:space="preserve">Amparo en revisión 966/2003. Médica Integral G.N.P., S.A. de C.V. 25 de febrero de 2004. Unanimidad de cuatro votos. Ausente: José de Jesús Gudiño Pelayo. Ponente: Juan N. Silva Meza. Secretaria: Guadalupe Robles </w:t>
      </w:r>
      <w:proofErr w:type="spellStart"/>
      <w:r w:rsidRPr="00E020E8">
        <w:rPr>
          <w:i/>
          <w:iCs/>
          <w:color w:val="2E74B5" w:themeColor="accent1" w:themeShade="BF"/>
          <w:sz w:val="22"/>
          <w:szCs w:val="22"/>
        </w:rPr>
        <w:t>Denetro</w:t>
      </w:r>
      <w:proofErr w:type="spellEnd"/>
      <w:r w:rsidRPr="00E020E8">
        <w:rPr>
          <w:i/>
          <w:iCs/>
          <w:color w:val="2E74B5" w:themeColor="accent1" w:themeShade="BF"/>
          <w:sz w:val="22"/>
          <w:szCs w:val="22"/>
        </w:rPr>
        <w:t xml:space="preserve">. </w:t>
      </w:r>
    </w:p>
    <w:p w:rsidR="00D942BA" w:rsidRPr="00E020E8" w:rsidRDefault="00D942BA" w:rsidP="00E020E8">
      <w:pPr>
        <w:pStyle w:val="Default"/>
        <w:spacing w:line="276" w:lineRule="auto"/>
        <w:jc w:val="both"/>
        <w:rPr>
          <w:i/>
          <w:color w:val="2E74B5" w:themeColor="accent1" w:themeShade="BF"/>
          <w:sz w:val="22"/>
          <w:szCs w:val="22"/>
        </w:rPr>
      </w:pPr>
      <w:r w:rsidRPr="00E020E8">
        <w:rPr>
          <w:i/>
          <w:iCs/>
          <w:color w:val="2E74B5" w:themeColor="accent1" w:themeShade="BF"/>
          <w:sz w:val="22"/>
          <w:szCs w:val="22"/>
        </w:rPr>
        <w:t xml:space="preserve">Amparo en revisión 312/2004. Luis Ramiro Espino Rosales. 26 de mayo de 2004. Unanimidad de cuatro votos. Ausente: Humberto Román Palacios. Ponente: José Ramón Cossío Díaz. Secretario: Miguel Enrique Sánchez Frías. </w:t>
      </w:r>
    </w:p>
    <w:p w:rsidR="00D942BA" w:rsidRPr="00E020E8" w:rsidRDefault="00D942BA" w:rsidP="00E020E8">
      <w:pPr>
        <w:pStyle w:val="Default"/>
        <w:spacing w:line="276" w:lineRule="auto"/>
        <w:jc w:val="both"/>
        <w:rPr>
          <w:i/>
          <w:color w:val="2E74B5" w:themeColor="accent1" w:themeShade="BF"/>
          <w:sz w:val="22"/>
          <w:szCs w:val="22"/>
        </w:rPr>
      </w:pPr>
      <w:r w:rsidRPr="00E020E8">
        <w:rPr>
          <w:i/>
          <w:iCs/>
          <w:color w:val="2E74B5" w:themeColor="accent1" w:themeShade="BF"/>
          <w:sz w:val="22"/>
          <w:szCs w:val="22"/>
        </w:rPr>
        <w:t xml:space="preserve">Amparo en revisión 883/2004. Operadora </w:t>
      </w:r>
      <w:proofErr w:type="spellStart"/>
      <w:r w:rsidRPr="00E020E8">
        <w:rPr>
          <w:i/>
          <w:iCs/>
          <w:color w:val="2E74B5" w:themeColor="accent1" w:themeShade="BF"/>
          <w:sz w:val="22"/>
          <w:szCs w:val="22"/>
        </w:rPr>
        <w:t>Valmex</w:t>
      </w:r>
      <w:proofErr w:type="spellEnd"/>
      <w:r w:rsidRPr="00E020E8">
        <w:rPr>
          <w:i/>
          <w:iCs/>
          <w:color w:val="2E74B5" w:themeColor="accent1" w:themeShade="BF"/>
          <w:sz w:val="22"/>
          <w:szCs w:val="22"/>
        </w:rPr>
        <w:t xml:space="preserve"> de Sociedades de Inversión, S.A. de C.V. 3 de septiembre de 2004. Unanimidad de cuatro votos. Ponente: José Ramón Cossío Díaz. Secretario: Francisco Javier Solís López. </w:t>
      </w:r>
    </w:p>
    <w:p w:rsidR="00D942BA" w:rsidRPr="00E020E8" w:rsidRDefault="00D942BA" w:rsidP="00E020E8">
      <w:pPr>
        <w:pStyle w:val="Default"/>
        <w:spacing w:line="276" w:lineRule="auto"/>
        <w:jc w:val="both"/>
        <w:rPr>
          <w:i/>
          <w:color w:val="2E74B5" w:themeColor="accent1" w:themeShade="BF"/>
          <w:sz w:val="22"/>
          <w:szCs w:val="22"/>
        </w:rPr>
      </w:pPr>
      <w:r w:rsidRPr="00E020E8">
        <w:rPr>
          <w:i/>
          <w:iCs/>
          <w:color w:val="2E74B5" w:themeColor="accent1" w:themeShade="BF"/>
          <w:sz w:val="22"/>
          <w:szCs w:val="22"/>
        </w:rPr>
        <w:t xml:space="preserve">Amparo en revisión 1182/2004. José Carlos Vázquez Rodríguez y otro. 6 de octubre de 2004. Unanimidad de cuatro votos. Ponente: José Ramón Cossío Díaz. Secretario: Miguel Enrique Sánchez Frías. </w:t>
      </w:r>
    </w:p>
    <w:p w:rsidR="00D942BA" w:rsidRPr="00E020E8" w:rsidRDefault="00D942BA" w:rsidP="00E020E8">
      <w:pPr>
        <w:pStyle w:val="Default"/>
        <w:spacing w:line="276" w:lineRule="auto"/>
        <w:jc w:val="both"/>
        <w:rPr>
          <w:i/>
          <w:color w:val="2E74B5" w:themeColor="accent1" w:themeShade="BF"/>
          <w:sz w:val="22"/>
          <w:szCs w:val="22"/>
        </w:rPr>
      </w:pPr>
      <w:r w:rsidRPr="00E020E8">
        <w:rPr>
          <w:i/>
          <w:iCs/>
          <w:color w:val="2E74B5" w:themeColor="accent1" w:themeShade="BF"/>
          <w:sz w:val="22"/>
          <w:szCs w:val="22"/>
        </w:rPr>
        <w:t xml:space="preserve">Tesis de jurisprudencia 33/2005. Aprobada por la Primera Sala de este Alto Tribunal, en sesión de treinta de marzo de dos mil cinco.” </w:t>
      </w:r>
    </w:p>
    <w:p w:rsidR="00D942BA" w:rsidRPr="00E020E8" w:rsidRDefault="00D942BA" w:rsidP="00E020E8">
      <w:pPr>
        <w:pStyle w:val="corte4fondo"/>
        <w:spacing w:line="276" w:lineRule="auto"/>
        <w:rPr>
          <w:rFonts w:cs="Arial"/>
          <w:color w:val="2E74B5" w:themeColor="accent1" w:themeShade="BF"/>
          <w:sz w:val="24"/>
          <w:szCs w:val="24"/>
          <w:highlight w:val="yellow"/>
        </w:rPr>
      </w:pPr>
    </w:p>
    <w:p w:rsidR="00D942BA" w:rsidRPr="00E020E8" w:rsidRDefault="00D942BA" w:rsidP="00E020E8">
      <w:pPr>
        <w:pStyle w:val="corte4fondo"/>
        <w:spacing w:line="276" w:lineRule="auto"/>
        <w:rPr>
          <w:rFonts w:cs="Arial"/>
          <w:color w:val="2E74B5" w:themeColor="accent1" w:themeShade="BF"/>
          <w:sz w:val="24"/>
          <w:szCs w:val="24"/>
        </w:rPr>
      </w:pPr>
      <w:r w:rsidRPr="00E020E8">
        <w:rPr>
          <w:rFonts w:cs="Arial"/>
          <w:color w:val="2E74B5" w:themeColor="accent1" w:themeShade="BF"/>
          <w:sz w:val="24"/>
          <w:szCs w:val="24"/>
        </w:rPr>
        <w:t>En virtud de lo anterior, y de acuerdo a la normatividad citada es posible es posible que la autoridad cuente con la información solicitada, y por ello es que no justifica la negativa de acceso y se ve obligado a entregar la información o, en su defecto, fundamentar la causas que sostengan la negativa de acceso a la información.</w:t>
      </w:r>
    </w:p>
    <w:p w:rsidR="009A21BA" w:rsidRPr="00E020E8" w:rsidRDefault="009A21BA" w:rsidP="00E020E8">
      <w:pPr>
        <w:spacing w:after="0"/>
        <w:rPr>
          <w:rFonts w:ascii="Arial" w:hAnsi="Arial" w:cs="Arial"/>
          <w:sz w:val="20"/>
          <w:szCs w:val="20"/>
        </w:rPr>
      </w:pPr>
    </w:p>
    <w:p w:rsidR="006E30D6" w:rsidRDefault="00CA00E7" w:rsidP="00E020E8">
      <w:pPr>
        <w:spacing w:after="0"/>
        <w:rPr>
          <w:rFonts w:ascii="Arial" w:hAnsi="Arial" w:cs="Arial"/>
          <w:color w:val="2E74B5" w:themeColor="accent1" w:themeShade="BF"/>
          <w:sz w:val="24"/>
          <w:szCs w:val="24"/>
        </w:rPr>
      </w:pPr>
      <w:r w:rsidRPr="00E020E8">
        <w:rPr>
          <w:rFonts w:ascii="Arial" w:hAnsi="Arial" w:cs="Arial"/>
          <w:sz w:val="20"/>
          <w:szCs w:val="20"/>
        </w:rPr>
        <w:t xml:space="preserve"> </w:t>
      </w:r>
      <w:r w:rsidR="006E30D6" w:rsidRPr="00E020E8">
        <w:rPr>
          <w:rFonts w:ascii="Arial" w:hAnsi="Arial" w:cs="Arial"/>
          <w:b/>
          <w:color w:val="2E74B5" w:themeColor="accent1" w:themeShade="BF"/>
          <w:sz w:val="24"/>
          <w:szCs w:val="24"/>
        </w:rPr>
        <w:tab/>
        <w:t>7.</w:t>
      </w:r>
      <w:r w:rsidR="008A04A4">
        <w:rPr>
          <w:rFonts w:ascii="Arial" w:hAnsi="Arial" w:cs="Arial"/>
          <w:b/>
          <w:color w:val="2E74B5" w:themeColor="accent1" w:themeShade="BF"/>
          <w:sz w:val="24"/>
          <w:szCs w:val="24"/>
        </w:rPr>
        <w:t>2</w:t>
      </w:r>
      <w:r w:rsidR="006E30D6" w:rsidRPr="00E020E8">
        <w:rPr>
          <w:rFonts w:ascii="Arial" w:hAnsi="Arial" w:cs="Arial"/>
          <w:b/>
          <w:color w:val="2E74B5" w:themeColor="accent1" w:themeShade="BF"/>
          <w:sz w:val="24"/>
          <w:szCs w:val="24"/>
        </w:rPr>
        <w:t>. Modalidad de entrega</w:t>
      </w:r>
      <w:r w:rsidR="006E30D6" w:rsidRPr="00E020E8">
        <w:rPr>
          <w:rFonts w:ascii="Arial" w:hAnsi="Arial" w:cs="Arial"/>
          <w:color w:val="2E74B5" w:themeColor="accent1" w:themeShade="BF"/>
          <w:sz w:val="24"/>
          <w:szCs w:val="24"/>
        </w:rPr>
        <w:t>.</w:t>
      </w:r>
    </w:p>
    <w:p w:rsidR="000B5D95" w:rsidRPr="00E020E8" w:rsidRDefault="000B5D95" w:rsidP="00E020E8">
      <w:pPr>
        <w:spacing w:after="0"/>
        <w:rPr>
          <w:rFonts w:ascii="Arial" w:hAnsi="Arial" w:cs="Arial"/>
          <w:color w:val="2E74B5" w:themeColor="accent1" w:themeShade="BF"/>
          <w:sz w:val="24"/>
          <w:szCs w:val="24"/>
        </w:rPr>
      </w:pPr>
    </w:p>
    <w:p w:rsidR="006E30D6" w:rsidRPr="00E020E8" w:rsidRDefault="009A21BA" w:rsidP="00E020E8">
      <w:pPr>
        <w:pStyle w:val="corte4fondo"/>
        <w:tabs>
          <w:tab w:val="left" w:pos="567"/>
        </w:tabs>
        <w:spacing w:line="276" w:lineRule="auto"/>
        <w:ind w:firstLine="0"/>
        <w:rPr>
          <w:rFonts w:cs="Arial"/>
          <w:color w:val="2E74B5" w:themeColor="accent1" w:themeShade="BF"/>
          <w:sz w:val="24"/>
          <w:szCs w:val="24"/>
        </w:rPr>
      </w:pPr>
      <w:r w:rsidRPr="00E020E8">
        <w:rPr>
          <w:rFonts w:cs="Arial"/>
          <w:color w:val="2E74B5" w:themeColor="accent1" w:themeShade="BF"/>
          <w:sz w:val="24"/>
          <w:szCs w:val="24"/>
        </w:rPr>
        <w:tab/>
      </w:r>
      <w:r w:rsidR="006E30D6" w:rsidRPr="00E020E8">
        <w:rPr>
          <w:rFonts w:cs="Arial"/>
          <w:color w:val="2E74B5" w:themeColor="accent1" w:themeShade="BF"/>
          <w:sz w:val="24"/>
          <w:szCs w:val="24"/>
        </w:rPr>
        <w:t>Ahora, los artículos 17, 146, fracción V, primer párrafo y 155, de la Ley de Transparencia establecen que:</w:t>
      </w:r>
    </w:p>
    <w:p w:rsidR="006E30D6" w:rsidRPr="00E020E8" w:rsidRDefault="006E30D6" w:rsidP="00E020E8">
      <w:pPr>
        <w:pStyle w:val="corte4fondo"/>
        <w:tabs>
          <w:tab w:val="left" w:pos="567"/>
        </w:tabs>
        <w:spacing w:line="276" w:lineRule="auto"/>
        <w:rPr>
          <w:rFonts w:cs="Arial"/>
          <w:color w:val="2E74B5" w:themeColor="accent1" w:themeShade="BF"/>
          <w:sz w:val="24"/>
          <w:szCs w:val="24"/>
        </w:rPr>
      </w:pPr>
    </w:p>
    <w:p w:rsidR="006E30D6" w:rsidRPr="00E020E8" w:rsidRDefault="006E30D6" w:rsidP="00E020E8">
      <w:pPr>
        <w:pStyle w:val="corte4fondo"/>
        <w:tabs>
          <w:tab w:val="left" w:pos="567"/>
        </w:tabs>
        <w:spacing w:line="276" w:lineRule="auto"/>
        <w:ind w:left="567" w:firstLine="0"/>
        <w:rPr>
          <w:rFonts w:cs="Arial"/>
          <w:color w:val="2E74B5" w:themeColor="accent1" w:themeShade="BF"/>
          <w:sz w:val="24"/>
          <w:szCs w:val="24"/>
        </w:rPr>
      </w:pPr>
      <w:r w:rsidRPr="00E020E8">
        <w:rPr>
          <w:rFonts w:cs="Arial"/>
          <w:b/>
          <w:bCs/>
          <w:color w:val="2E74B5" w:themeColor="accent1" w:themeShade="BF"/>
          <w:sz w:val="20"/>
        </w:rPr>
        <w:t xml:space="preserve">ARTÍCULO 17. </w:t>
      </w:r>
      <w:r w:rsidRPr="00E020E8">
        <w:rPr>
          <w:rFonts w:cs="Arial"/>
          <w:color w:val="2E74B5" w:themeColor="accent1" w:themeShade="BF"/>
          <w:sz w:val="20"/>
        </w:rPr>
        <w:t xml:space="preserve">El ejercicio del derecho de acceso a la información es gratuito y sólo podrá requerirse el cobro correspondiente a la modalidad de reproducción y entrega solicitada. </w:t>
      </w:r>
    </w:p>
    <w:p w:rsidR="006E30D6" w:rsidRPr="00E020E8" w:rsidRDefault="006E30D6" w:rsidP="00E020E8">
      <w:pPr>
        <w:pStyle w:val="corte4fondo"/>
        <w:tabs>
          <w:tab w:val="left" w:pos="567"/>
        </w:tabs>
        <w:spacing w:line="276" w:lineRule="auto"/>
        <w:ind w:left="567" w:firstLine="0"/>
        <w:rPr>
          <w:rFonts w:cs="Arial"/>
          <w:color w:val="2E74B5" w:themeColor="accent1" w:themeShade="BF"/>
          <w:sz w:val="20"/>
        </w:rPr>
      </w:pPr>
      <w:r w:rsidRPr="00E020E8">
        <w:rPr>
          <w:rFonts w:cs="Arial"/>
          <w:color w:val="2E74B5" w:themeColor="accent1" w:themeShade="BF"/>
          <w:sz w:val="20"/>
        </w:rPr>
        <w:t>En ningún caso los ajustes razonables que se realicen para el acceso de la información de solicitantes con discapacidad, será con costo a los mismos.</w:t>
      </w:r>
    </w:p>
    <w:p w:rsidR="006E30D6" w:rsidRPr="00E020E8" w:rsidRDefault="006E30D6" w:rsidP="00E020E8">
      <w:pPr>
        <w:pStyle w:val="corte4fondo"/>
        <w:tabs>
          <w:tab w:val="left" w:pos="567"/>
        </w:tabs>
        <w:spacing w:line="276" w:lineRule="auto"/>
        <w:ind w:left="567" w:firstLine="0"/>
        <w:rPr>
          <w:rFonts w:cs="Arial"/>
          <w:color w:val="2E74B5" w:themeColor="accent1" w:themeShade="BF"/>
          <w:sz w:val="20"/>
        </w:rPr>
      </w:pPr>
    </w:p>
    <w:p w:rsidR="006E30D6" w:rsidRPr="00E020E8" w:rsidRDefault="006E30D6" w:rsidP="00E020E8">
      <w:pPr>
        <w:pStyle w:val="corte4fondo"/>
        <w:tabs>
          <w:tab w:val="left" w:pos="567"/>
        </w:tabs>
        <w:spacing w:line="276" w:lineRule="auto"/>
        <w:ind w:left="567" w:firstLine="0"/>
        <w:rPr>
          <w:rFonts w:cs="Arial"/>
          <w:color w:val="2E74B5" w:themeColor="accent1" w:themeShade="BF"/>
          <w:sz w:val="20"/>
        </w:rPr>
      </w:pPr>
      <w:r w:rsidRPr="00E020E8">
        <w:rPr>
          <w:rFonts w:cs="Arial"/>
          <w:b/>
          <w:bCs/>
          <w:color w:val="2E74B5" w:themeColor="accent1" w:themeShade="BF"/>
          <w:sz w:val="20"/>
        </w:rPr>
        <w:t xml:space="preserve">ARTÍCULO 146. </w:t>
      </w:r>
      <w:r w:rsidRPr="00E020E8">
        <w:rPr>
          <w:rFonts w:cs="Arial"/>
          <w:color w:val="2E74B5" w:themeColor="accent1" w:themeShade="BF"/>
          <w:sz w:val="20"/>
        </w:rPr>
        <w:t xml:space="preserve">Para presentar una solicitud no se podrán exigir mayores requisitos que los siguientes: </w:t>
      </w:r>
    </w:p>
    <w:p w:rsidR="006E30D6" w:rsidRPr="00E020E8" w:rsidRDefault="006E30D6" w:rsidP="00E020E8">
      <w:pPr>
        <w:pStyle w:val="corte4fondo"/>
        <w:tabs>
          <w:tab w:val="left" w:pos="567"/>
        </w:tabs>
        <w:spacing w:line="276" w:lineRule="auto"/>
        <w:ind w:left="567" w:firstLine="0"/>
        <w:rPr>
          <w:rFonts w:cs="Arial"/>
          <w:color w:val="2E74B5" w:themeColor="accent1" w:themeShade="BF"/>
          <w:sz w:val="20"/>
        </w:rPr>
      </w:pPr>
      <w:r w:rsidRPr="00E020E8">
        <w:rPr>
          <w:rFonts w:cs="Arial"/>
          <w:bCs/>
          <w:color w:val="2E74B5" w:themeColor="accent1" w:themeShade="BF"/>
          <w:sz w:val="20"/>
        </w:rPr>
        <w:t>[…]</w:t>
      </w:r>
    </w:p>
    <w:p w:rsidR="006E30D6" w:rsidRPr="00E020E8" w:rsidRDefault="006E30D6" w:rsidP="00E020E8">
      <w:pPr>
        <w:pStyle w:val="corte4fondo"/>
        <w:tabs>
          <w:tab w:val="left" w:pos="567"/>
        </w:tabs>
        <w:spacing w:line="276" w:lineRule="auto"/>
        <w:ind w:left="567" w:firstLine="0"/>
        <w:rPr>
          <w:rFonts w:cs="Arial"/>
          <w:color w:val="2E74B5" w:themeColor="accent1" w:themeShade="BF"/>
          <w:sz w:val="20"/>
        </w:rPr>
      </w:pPr>
      <w:r w:rsidRPr="00E020E8">
        <w:rPr>
          <w:rFonts w:cs="Arial"/>
          <w:b/>
          <w:bCs/>
          <w:color w:val="2E74B5" w:themeColor="accent1" w:themeShade="BF"/>
          <w:sz w:val="20"/>
        </w:rPr>
        <w:t xml:space="preserve">V. </w:t>
      </w:r>
      <w:r w:rsidRPr="00E020E8">
        <w:rPr>
          <w:rFonts w:cs="Arial"/>
          <w:color w:val="2E74B5" w:themeColor="accent1" w:themeShade="BF"/>
          <w:sz w:val="20"/>
        </w:rPr>
        <w:t>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rsidR="006E30D6" w:rsidRPr="00E020E8" w:rsidRDefault="006E30D6" w:rsidP="00E020E8">
      <w:pPr>
        <w:pStyle w:val="corte4fondo"/>
        <w:tabs>
          <w:tab w:val="left" w:pos="567"/>
        </w:tabs>
        <w:spacing w:line="276" w:lineRule="auto"/>
        <w:ind w:left="567" w:firstLine="0"/>
        <w:rPr>
          <w:rFonts w:cs="Arial"/>
          <w:color w:val="2E74B5" w:themeColor="accent1" w:themeShade="BF"/>
          <w:sz w:val="20"/>
        </w:rPr>
      </w:pPr>
    </w:p>
    <w:p w:rsidR="006E30D6" w:rsidRPr="00E020E8" w:rsidRDefault="006E30D6" w:rsidP="00E020E8">
      <w:pPr>
        <w:pStyle w:val="corte4fondo"/>
        <w:spacing w:line="276" w:lineRule="auto"/>
        <w:rPr>
          <w:rFonts w:cs="Arial"/>
          <w:color w:val="2E74B5" w:themeColor="accent1" w:themeShade="BF"/>
          <w:sz w:val="23"/>
          <w:szCs w:val="23"/>
        </w:rPr>
      </w:pPr>
      <w:r w:rsidRPr="00E020E8">
        <w:rPr>
          <w:rFonts w:cs="Arial"/>
          <w:color w:val="2E74B5" w:themeColor="accent1" w:themeShade="BF"/>
          <w:sz w:val="23"/>
          <w:szCs w:val="23"/>
        </w:rPr>
        <w:t xml:space="preserve">Así, el acceso se dará en la modalidad de entrega elegido por el solicitante –y que cuando la información no pueda entregarse o enviarse en la modalidad elegida, el sujeto obligado deberá ofrecer otra u otras modalidades de entrega– y </w:t>
      </w:r>
      <w:proofErr w:type="gramStart"/>
      <w:r w:rsidRPr="00E020E8">
        <w:rPr>
          <w:rFonts w:cs="Arial"/>
          <w:color w:val="2E74B5" w:themeColor="accent1" w:themeShade="BF"/>
          <w:sz w:val="23"/>
          <w:szCs w:val="23"/>
        </w:rPr>
        <w:t>que  en</w:t>
      </w:r>
      <w:proofErr w:type="gramEnd"/>
      <w:r w:rsidRPr="00E020E8">
        <w:rPr>
          <w:rFonts w:cs="Arial"/>
          <w:color w:val="2E74B5" w:themeColor="accent1" w:themeShade="BF"/>
          <w:sz w:val="23"/>
          <w:szCs w:val="23"/>
        </w:rPr>
        <w:t xml:space="preserve"> cualquier caso, </w:t>
      </w:r>
      <w:r w:rsidRPr="00E020E8">
        <w:rPr>
          <w:rFonts w:cs="Arial"/>
          <w:color w:val="2E74B5" w:themeColor="accent1" w:themeShade="BF"/>
          <w:sz w:val="23"/>
          <w:szCs w:val="23"/>
          <w:u w:val="single"/>
        </w:rPr>
        <w:t>se deberá fundar y motivar la necesidad de ofrecer otras modalidades</w:t>
      </w:r>
      <w:r w:rsidRPr="00E020E8">
        <w:rPr>
          <w:rFonts w:cs="Arial"/>
          <w:color w:val="2E74B5" w:themeColor="accent1" w:themeShade="BF"/>
          <w:sz w:val="23"/>
          <w:szCs w:val="23"/>
        </w:rPr>
        <w:t>.</w:t>
      </w:r>
    </w:p>
    <w:p w:rsidR="006E30D6" w:rsidRPr="00E020E8" w:rsidRDefault="006E30D6" w:rsidP="00E020E8">
      <w:pPr>
        <w:pStyle w:val="corte4fondo"/>
        <w:spacing w:line="276" w:lineRule="auto"/>
        <w:rPr>
          <w:rFonts w:cs="Arial"/>
          <w:color w:val="2E74B5" w:themeColor="accent1" w:themeShade="BF"/>
          <w:sz w:val="23"/>
          <w:szCs w:val="23"/>
        </w:rPr>
      </w:pPr>
    </w:p>
    <w:p w:rsidR="006E30D6" w:rsidRPr="00E020E8" w:rsidRDefault="006E30D6" w:rsidP="00E020E8">
      <w:pPr>
        <w:pStyle w:val="corte4fondo"/>
        <w:spacing w:line="276" w:lineRule="auto"/>
        <w:rPr>
          <w:rFonts w:cs="Arial"/>
          <w:color w:val="2E74B5" w:themeColor="accent1" w:themeShade="BF"/>
          <w:sz w:val="23"/>
          <w:szCs w:val="23"/>
        </w:rPr>
      </w:pPr>
      <w:r w:rsidRPr="00E020E8">
        <w:rPr>
          <w:rFonts w:cs="Arial"/>
          <w:color w:val="2E74B5" w:themeColor="accent1" w:themeShade="BF"/>
          <w:sz w:val="23"/>
          <w:szCs w:val="23"/>
        </w:rPr>
        <w:t xml:space="preserve">Que, por lo tanto, el ejercicio del derecho de acceso a la información es gratuito y </w:t>
      </w:r>
      <w:r w:rsidRPr="00E020E8">
        <w:rPr>
          <w:rFonts w:cs="Arial"/>
          <w:color w:val="2E74B5" w:themeColor="accent1" w:themeShade="BF"/>
          <w:sz w:val="23"/>
          <w:szCs w:val="23"/>
          <w:u w:val="single"/>
        </w:rPr>
        <w:t>sólo podrá requerirse el cobro correspondiente a la modalidad de reproducción y entrega solicitada</w:t>
      </w:r>
      <w:r w:rsidRPr="00E020E8">
        <w:rPr>
          <w:rFonts w:cs="Arial"/>
          <w:color w:val="2E74B5" w:themeColor="accent1" w:themeShade="BF"/>
          <w:sz w:val="23"/>
          <w:szCs w:val="23"/>
        </w:rPr>
        <w:t>.</w:t>
      </w:r>
    </w:p>
    <w:p w:rsidR="006E30D6" w:rsidRPr="00E020E8" w:rsidRDefault="006E30D6" w:rsidP="00E020E8">
      <w:pPr>
        <w:pStyle w:val="corte4fondo"/>
        <w:spacing w:line="276" w:lineRule="auto"/>
        <w:rPr>
          <w:rFonts w:cs="Arial"/>
          <w:color w:val="2E74B5" w:themeColor="accent1" w:themeShade="BF"/>
          <w:sz w:val="23"/>
          <w:szCs w:val="23"/>
        </w:rPr>
      </w:pPr>
    </w:p>
    <w:p w:rsidR="006E30D6" w:rsidRPr="00E020E8" w:rsidRDefault="006E30D6" w:rsidP="00E020E8">
      <w:pPr>
        <w:pStyle w:val="corte4fondo"/>
        <w:spacing w:line="276" w:lineRule="auto"/>
        <w:rPr>
          <w:rFonts w:cs="Arial"/>
          <w:color w:val="2E74B5" w:themeColor="accent1" w:themeShade="BF"/>
          <w:sz w:val="23"/>
          <w:szCs w:val="23"/>
        </w:rPr>
      </w:pPr>
      <w:r w:rsidRPr="00E020E8">
        <w:rPr>
          <w:rFonts w:cs="Arial"/>
          <w:color w:val="2E74B5" w:themeColor="accent1" w:themeShade="BF"/>
          <w:sz w:val="23"/>
          <w:szCs w:val="23"/>
        </w:rPr>
        <w:t xml:space="preserve">De ahí que para presentar una solicitud no se podrán exigir mayores requisitos, entre lo que se encuentra el de la modalidad en la que prefiere se otorgue el acceso a la información, por ello, </w:t>
      </w:r>
      <w:r w:rsidRPr="00E020E8">
        <w:rPr>
          <w:rFonts w:cs="Arial"/>
          <w:color w:val="2E74B5" w:themeColor="accent1" w:themeShade="BF"/>
          <w:sz w:val="23"/>
          <w:szCs w:val="23"/>
          <w:u w:val="single"/>
        </w:rPr>
        <w:t xml:space="preserve">la regla es que el acceso se dará en la modalidad de solicitada </w:t>
      </w:r>
      <w:r w:rsidRPr="00E020E8">
        <w:rPr>
          <w:rFonts w:cs="Arial"/>
          <w:color w:val="2E74B5" w:themeColor="accent1" w:themeShade="BF"/>
          <w:sz w:val="23"/>
          <w:szCs w:val="23"/>
        </w:rPr>
        <w:t xml:space="preserve">y, en su caso, de envío elegidos por el solicitante y, </w:t>
      </w:r>
      <w:r w:rsidRPr="00E020E8">
        <w:rPr>
          <w:rFonts w:cs="Arial"/>
          <w:color w:val="2E74B5" w:themeColor="accent1" w:themeShade="BF"/>
          <w:sz w:val="23"/>
          <w:szCs w:val="23"/>
          <w:u w:val="single"/>
        </w:rPr>
        <w:t>la excepción es cuando la información no pueda entregarse o enviarse en la modalidad elegida</w:t>
      </w:r>
      <w:r w:rsidRPr="00E020E8">
        <w:rPr>
          <w:rFonts w:cs="Arial"/>
          <w:color w:val="2E74B5" w:themeColor="accent1" w:themeShade="BF"/>
          <w:sz w:val="23"/>
          <w:szCs w:val="23"/>
        </w:rPr>
        <w:t xml:space="preserve">, por lo que el sujeto obligado deberá ofrecer otra u otras modalidades de entrega. </w:t>
      </w:r>
      <w:r w:rsidRPr="00E020E8">
        <w:rPr>
          <w:rFonts w:cs="Arial"/>
          <w:b/>
          <w:color w:val="2E74B5" w:themeColor="accent1" w:themeShade="BF"/>
          <w:sz w:val="23"/>
          <w:szCs w:val="23"/>
        </w:rPr>
        <w:t>En cualquier caso, se deberá fundar y motivar la necesidad de ofrecer otras modalidades</w:t>
      </w:r>
      <w:r w:rsidRPr="00E020E8">
        <w:rPr>
          <w:rFonts w:cs="Arial"/>
          <w:color w:val="2E74B5" w:themeColor="accent1" w:themeShade="BF"/>
          <w:sz w:val="23"/>
          <w:szCs w:val="23"/>
        </w:rPr>
        <w:t>.</w:t>
      </w:r>
    </w:p>
    <w:p w:rsidR="006E30D6" w:rsidRPr="00E020E8" w:rsidRDefault="006E30D6" w:rsidP="00E020E8">
      <w:pPr>
        <w:pStyle w:val="corte4fondo"/>
        <w:spacing w:line="276" w:lineRule="auto"/>
        <w:rPr>
          <w:rFonts w:cs="Arial"/>
          <w:color w:val="2E74B5" w:themeColor="accent1" w:themeShade="BF"/>
          <w:sz w:val="23"/>
          <w:szCs w:val="23"/>
        </w:rPr>
      </w:pPr>
    </w:p>
    <w:p w:rsidR="006E30D6" w:rsidRPr="00E020E8" w:rsidRDefault="006E30D6" w:rsidP="00E020E8">
      <w:pPr>
        <w:pStyle w:val="corte4fondo"/>
        <w:spacing w:line="276" w:lineRule="auto"/>
        <w:rPr>
          <w:rFonts w:cs="Arial"/>
          <w:color w:val="2E74B5" w:themeColor="accent1" w:themeShade="BF"/>
          <w:sz w:val="24"/>
          <w:szCs w:val="24"/>
        </w:rPr>
      </w:pPr>
      <w:r w:rsidRPr="00E020E8">
        <w:rPr>
          <w:rFonts w:cs="Arial"/>
          <w:color w:val="2E74B5" w:themeColor="accent1" w:themeShade="BF"/>
          <w:sz w:val="24"/>
          <w:szCs w:val="24"/>
        </w:rPr>
        <w:t>En el caso, la solicitud de información fue realizada por el solicitante a través de la Plataforma Nacional de Transparencia y aunque, si bien es cierto es que el recurrente no expresó la modalidad de entrega de la información, sin embargo, tal omisión no implica la discrecionalidad del sujeto obligado para que entregue la información peticionada en la modalidad que prefiera, puesto que si el solicitante presentó la solicitud de información por medios electrónicos, entonces, se está en el supuesto de que la autoridad debe entregar la información peticionada por ese mismo medio.</w:t>
      </w:r>
    </w:p>
    <w:p w:rsidR="006E30D6" w:rsidRPr="00E020E8" w:rsidRDefault="006E30D6" w:rsidP="00E020E8">
      <w:pPr>
        <w:pStyle w:val="corte4fondo"/>
        <w:spacing w:line="276" w:lineRule="auto"/>
        <w:rPr>
          <w:rFonts w:cs="Arial"/>
          <w:color w:val="2E74B5" w:themeColor="accent1" w:themeShade="BF"/>
          <w:sz w:val="24"/>
          <w:szCs w:val="24"/>
        </w:rPr>
      </w:pPr>
    </w:p>
    <w:p w:rsidR="006E30D6" w:rsidRPr="00E020E8" w:rsidRDefault="006E30D6" w:rsidP="00E020E8">
      <w:pPr>
        <w:pStyle w:val="corte4fondo"/>
        <w:spacing w:line="276" w:lineRule="auto"/>
        <w:rPr>
          <w:rFonts w:cs="Arial"/>
          <w:color w:val="2E74B5" w:themeColor="accent1" w:themeShade="BF"/>
          <w:sz w:val="24"/>
          <w:szCs w:val="24"/>
        </w:rPr>
      </w:pPr>
      <w:r w:rsidRPr="00E020E8">
        <w:rPr>
          <w:rFonts w:cs="Arial"/>
          <w:color w:val="2E74B5" w:themeColor="accent1" w:themeShade="BF"/>
          <w:sz w:val="24"/>
          <w:szCs w:val="24"/>
        </w:rPr>
        <w:t xml:space="preserve">Lo anterior, incluso encuentra sustento en el criterio 03/2008 emitido por el Comité de Acceso a la Información Pública y Protección de Datos Personales de la Suprema Corte de Justicia de la Nación, publicado en la Compilación de Normas y Criterios en Materia de Transparencia, Acceso a la Información Pública y Protección </w:t>
      </w:r>
      <w:r w:rsidRPr="00E020E8">
        <w:rPr>
          <w:rFonts w:cs="Arial"/>
          <w:color w:val="2E74B5" w:themeColor="accent1" w:themeShade="BF"/>
          <w:sz w:val="24"/>
          <w:szCs w:val="24"/>
        </w:rPr>
        <w:lastRenderedPageBreak/>
        <w:t>de Datos Personales de la Suprema Corte de Justicia de la Nación, Novena Edición, página 919, México 2013 cuyo rubro y texto es:</w:t>
      </w:r>
    </w:p>
    <w:p w:rsidR="006E30D6" w:rsidRPr="00E020E8" w:rsidRDefault="006E30D6" w:rsidP="00E020E8">
      <w:pPr>
        <w:spacing w:after="0"/>
        <w:jc w:val="both"/>
        <w:rPr>
          <w:rFonts w:ascii="Arial" w:eastAsia="Times New Roman" w:hAnsi="Arial" w:cs="Arial"/>
          <w:color w:val="2E74B5" w:themeColor="accent1" w:themeShade="BF"/>
          <w:sz w:val="24"/>
          <w:szCs w:val="24"/>
        </w:rPr>
      </w:pPr>
    </w:p>
    <w:p w:rsidR="006E30D6" w:rsidRPr="00E020E8" w:rsidRDefault="006E30D6" w:rsidP="00E020E8">
      <w:pPr>
        <w:autoSpaceDE w:val="0"/>
        <w:autoSpaceDN w:val="0"/>
        <w:adjustRightInd w:val="0"/>
        <w:spacing w:after="0"/>
        <w:ind w:left="708"/>
        <w:jc w:val="both"/>
        <w:rPr>
          <w:rFonts w:ascii="Arial" w:eastAsia="Times New Roman" w:hAnsi="Arial" w:cs="Arial"/>
          <w:color w:val="2E74B5" w:themeColor="accent1" w:themeShade="BF"/>
          <w:sz w:val="20"/>
          <w:szCs w:val="20"/>
          <w:lang w:eastAsia="es-MX"/>
        </w:rPr>
      </w:pPr>
      <w:r w:rsidRPr="00E020E8">
        <w:rPr>
          <w:rFonts w:ascii="Arial" w:eastAsia="Times New Roman" w:hAnsi="Arial" w:cs="Arial"/>
          <w:b/>
          <w:bCs/>
          <w:color w:val="2E74B5" w:themeColor="accent1" w:themeShade="BF"/>
          <w:sz w:val="20"/>
          <w:szCs w:val="20"/>
          <w:lang w:eastAsia="es-MX"/>
        </w:rPr>
        <w:t xml:space="preserve">MODALIDAD ELECTRÓNICA DE ACCESO A LA INFORMACIÓN. SI SE RECIBE UNA SOLICITUD POR MEDIOS ELECTRÓNICOS SIN PRECISAR LA MODALIDAD DE PREFERENCIA DEBE PRESUMIRSE QUE SE REQUIRIÓ EL ACCESO POR ESA MISMA VÍA. </w:t>
      </w:r>
      <w:r w:rsidRPr="00E020E8">
        <w:rPr>
          <w:rFonts w:ascii="Arial" w:eastAsia="Times New Roman" w:hAnsi="Arial" w:cs="Arial"/>
          <w:color w:val="2E74B5" w:themeColor="accent1" w:themeShade="BF"/>
          <w:sz w:val="20"/>
          <w:szCs w:val="20"/>
          <w:lang w:eastAsia="es-MX"/>
        </w:rPr>
        <w:t>El ejercicio del derecho</w:t>
      </w:r>
      <w:r w:rsidRPr="00E020E8">
        <w:rPr>
          <w:rFonts w:ascii="Arial" w:eastAsia="Times New Roman" w:hAnsi="Arial" w:cs="Arial"/>
          <w:b/>
          <w:bCs/>
          <w:color w:val="2E74B5" w:themeColor="accent1" w:themeShade="BF"/>
          <w:sz w:val="20"/>
          <w:szCs w:val="20"/>
          <w:lang w:eastAsia="es-MX"/>
        </w:rPr>
        <w:t xml:space="preserve"> </w:t>
      </w:r>
      <w:r w:rsidRPr="00E020E8">
        <w:rPr>
          <w:rFonts w:ascii="Arial" w:eastAsia="Times New Roman" w:hAnsi="Arial" w:cs="Arial"/>
          <w:color w:val="2E74B5" w:themeColor="accent1" w:themeShade="BF"/>
          <w:sz w:val="20"/>
          <w:szCs w:val="20"/>
          <w:lang w:eastAsia="es-MX"/>
        </w:rPr>
        <w:t>de acceso a la información gubernamental no se entiende</w:t>
      </w:r>
      <w:r w:rsidRPr="00E020E8">
        <w:rPr>
          <w:rFonts w:ascii="Arial" w:eastAsia="Times New Roman" w:hAnsi="Arial" w:cs="Arial"/>
          <w:b/>
          <w:bCs/>
          <w:color w:val="2E74B5" w:themeColor="accent1" w:themeShade="BF"/>
          <w:sz w:val="20"/>
          <w:szCs w:val="20"/>
          <w:lang w:eastAsia="es-MX"/>
        </w:rPr>
        <w:t xml:space="preserve"> </w:t>
      </w:r>
      <w:r w:rsidRPr="00E020E8">
        <w:rPr>
          <w:rFonts w:ascii="Arial" w:eastAsia="Times New Roman" w:hAnsi="Arial" w:cs="Arial"/>
          <w:color w:val="2E74B5" w:themeColor="accent1" w:themeShade="BF"/>
          <w:sz w:val="20"/>
          <w:szCs w:val="20"/>
          <w:lang w:eastAsia="es-MX"/>
        </w:rPr>
        <w:t>de forma abstracta y desvinculada a la forma en que los</w:t>
      </w:r>
      <w:r w:rsidRPr="00E020E8">
        <w:rPr>
          <w:rFonts w:ascii="Arial" w:eastAsia="Times New Roman" w:hAnsi="Arial" w:cs="Arial"/>
          <w:b/>
          <w:bCs/>
          <w:color w:val="2E74B5" w:themeColor="accent1" w:themeShade="BF"/>
          <w:sz w:val="20"/>
          <w:szCs w:val="20"/>
          <w:lang w:eastAsia="es-MX"/>
        </w:rPr>
        <w:t xml:space="preserve"> </w:t>
      </w:r>
      <w:r w:rsidRPr="00E020E8">
        <w:rPr>
          <w:rFonts w:ascii="Arial" w:eastAsia="Times New Roman" w:hAnsi="Arial" w:cs="Arial"/>
          <w:color w:val="2E74B5" w:themeColor="accent1" w:themeShade="BF"/>
          <w:sz w:val="20"/>
          <w:szCs w:val="20"/>
          <w:lang w:eastAsia="es-MX"/>
        </w:rPr>
        <w:t>gobernados pueden allegarse de aquélla; destacándose que</w:t>
      </w:r>
      <w:r w:rsidRPr="00E020E8">
        <w:rPr>
          <w:rFonts w:ascii="Arial" w:eastAsia="Times New Roman" w:hAnsi="Arial" w:cs="Arial"/>
          <w:b/>
          <w:bCs/>
          <w:color w:val="2E74B5" w:themeColor="accent1" w:themeShade="BF"/>
          <w:sz w:val="20"/>
          <w:szCs w:val="20"/>
          <w:lang w:eastAsia="es-MX"/>
        </w:rPr>
        <w:t xml:space="preserve"> </w:t>
      </w:r>
      <w:r w:rsidRPr="00E020E8">
        <w:rPr>
          <w:rFonts w:ascii="Arial" w:eastAsia="Times New Roman" w:hAnsi="Arial" w:cs="Arial"/>
          <w:color w:val="2E74B5" w:themeColor="accent1" w:themeShade="BF"/>
          <w:sz w:val="20"/>
          <w:szCs w:val="20"/>
          <w:lang w:eastAsia="es-MX"/>
        </w:rPr>
        <w:t>la modalidad de entrega de la información resulta de especial</w:t>
      </w:r>
      <w:r w:rsidRPr="00E020E8">
        <w:rPr>
          <w:rFonts w:ascii="Arial" w:eastAsia="Times New Roman" w:hAnsi="Arial" w:cs="Arial"/>
          <w:b/>
          <w:bCs/>
          <w:color w:val="2E74B5" w:themeColor="accent1" w:themeShade="BF"/>
          <w:sz w:val="20"/>
          <w:szCs w:val="20"/>
          <w:lang w:eastAsia="es-MX"/>
        </w:rPr>
        <w:t xml:space="preserve"> </w:t>
      </w:r>
      <w:r w:rsidRPr="00E020E8">
        <w:rPr>
          <w:rFonts w:ascii="Arial" w:eastAsia="Times New Roman" w:hAnsi="Arial" w:cs="Arial"/>
          <w:color w:val="2E74B5" w:themeColor="accent1" w:themeShade="BF"/>
          <w:sz w:val="20"/>
          <w:szCs w:val="20"/>
          <w:lang w:eastAsia="es-MX"/>
        </w:rPr>
        <w:t>interés para hacer efectivo este derecho. En este sentido,</w:t>
      </w:r>
      <w:r w:rsidRPr="00E020E8">
        <w:rPr>
          <w:rFonts w:ascii="Arial" w:eastAsia="Times New Roman" w:hAnsi="Arial" w:cs="Arial"/>
          <w:b/>
          <w:bCs/>
          <w:color w:val="2E74B5" w:themeColor="accent1" w:themeShade="BF"/>
          <w:sz w:val="20"/>
          <w:szCs w:val="20"/>
          <w:lang w:eastAsia="es-MX"/>
        </w:rPr>
        <w:t xml:space="preserve"> </w:t>
      </w:r>
      <w:r w:rsidRPr="00E020E8">
        <w:rPr>
          <w:rFonts w:ascii="Arial" w:eastAsia="Times New Roman" w:hAnsi="Arial" w:cs="Arial"/>
          <w:color w:val="2E74B5" w:themeColor="accent1" w:themeShade="BF"/>
          <w:sz w:val="20"/>
          <w:szCs w:val="20"/>
          <w:lang w:eastAsia="es-MX"/>
        </w:rPr>
        <w:t>la Comisión para la Transparencia y Acceso a la Información</w:t>
      </w:r>
      <w:r w:rsidRPr="00E020E8">
        <w:rPr>
          <w:rFonts w:ascii="Arial" w:eastAsia="Times New Roman" w:hAnsi="Arial" w:cs="Arial"/>
          <w:b/>
          <w:bCs/>
          <w:color w:val="2E74B5" w:themeColor="accent1" w:themeShade="BF"/>
          <w:sz w:val="20"/>
          <w:szCs w:val="20"/>
          <w:lang w:eastAsia="es-MX"/>
        </w:rPr>
        <w:t xml:space="preserve"> </w:t>
      </w:r>
      <w:r w:rsidRPr="00E020E8">
        <w:rPr>
          <w:rFonts w:ascii="Arial" w:eastAsia="Times New Roman" w:hAnsi="Arial" w:cs="Arial"/>
          <w:color w:val="2E74B5" w:themeColor="accent1" w:themeShade="BF"/>
          <w:sz w:val="20"/>
          <w:szCs w:val="20"/>
          <w:lang w:eastAsia="es-MX"/>
        </w:rPr>
        <w:t>de la Suprema Corte de Justicia de la Nación (recurso de</w:t>
      </w:r>
      <w:r w:rsidRPr="00E020E8">
        <w:rPr>
          <w:rFonts w:ascii="Arial" w:eastAsia="Times New Roman" w:hAnsi="Arial" w:cs="Arial"/>
          <w:b/>
          <w:bCs/>
          <w:color w:val="2E74B5" w:themeColor="accent1" w:themeShade="BF"/>
          <w:sz w:val="20"/>
          <w:szCs w:val="20"/>
          <w:lang w:eastAsia="es-MX"/>
        </w:rPr>
        <w:t xml:space="preserve"> </w:t>
      </w:r>
      <w:r w:rsidRPr="00E020E8">
        <w:rPr>
          <w:rFonts w:ascii="Arial" w:eastAsia="Times New Roman" w:hAnsi="Arial" w:cs="Arial"/>
          <w:color w:val="2E74B5" w:themeColor="accent1" w:themeShade="BF"/>
          <w:sz w:val="20"/>
          <w:szCs w:val="20"/>
          <w:lang w:eastAsia="es-MX"/>
        </w:rPr>
        <w:t>revisión 1/2005) determinó que el acceso a la información</w:t>
      </w:r>
      <w:r w:rsidRPr="00E020E8">
        <w:rPr>
          <w:rFonts w:ascii="Arial" w:eastAsia="Times New Roman" w:hAnsi="Arial" w:cs="Arial"/>
          <w:b/>
          <w:bCs/>
          <w:color w:val="2E74B5" w:themeColor="accent1" w:themeShade="BF"/>
          <w:sz w:val="20"/>
          <w:szCs w:val="20"/>
          <w:lang w:eastAsia="es-MX"/>
        </w:rPr>
        <w:t xml:space="preserve"> </w:t>
      </w:r>
      <w:r w:rsidRPr="00E020E8">
        <w:rPr>
          <w:rFonts w:ascii="Arial" w:eastAsia="Times New Roman" w:hAnsi="Arial" w:cs="Arial"/>
          <w:color w:val="2E74B5" w:themeColor="accent1" w:themeShade="BF"/>
          <w:sz w:val="20"/>
          <w:szCs w:val="20"/>
          <w:lang w:eastAsia="es-MX"/>
        </w:rPr>
        <w:t>no se cumple de forma íntegra cuando se entrega la información al peticionario en una modalidad diversa a la solicitada,</w:t>
      </w:r>
      <w:r w:rsidRPr="00E020E8">
        <w:rPr>
          <w:rFonts w:ascii="Arial" w:eastAsia="Times New Roman" w:hAnsi="Arial" w:cs="Arial"/>
          <w:b/>
          <w:bCs/>
          <w:color w:val="2E74B5" w:themeColor="accent1" w:themeShade="BF"/>
          <w:sz w:val="20"/>
          <w:szCs w:val="20"/>
          <w:lang w:eastAsia="es-MX"/>
        </w:rPr>
        <w:t xml:space="preserve"> </w:t>
      </w:r>
      <w:r w:rsidRPr="00E020E8">
        <w:rPr>
          <w:rFonts w:ascii="Arial" w:eastAsia="Times New Roman" w:hAnsi="Arial" w:cs="Arial"/>
          <w:color w:val="2E74B5" w:themeColor="accent1" w:themeShade="BF"/>
          <w:sz w:val="20"/>
          <w:szCs w:val="20"/>
          <w:lang w:eastAsia="es-MX"/>
        </w:rPr>
        <w:t>cuando esta fue la remisión por medios electrónicos,</w:t>
      </w:r>
      <w:r w:rsidRPr="00E020E8">
        <w:rPr>
          <w:rFonts w:ascii="Arial" w:eastAsia="Times New Roman" w:hAnsi="Arial" w:cs="Arial"/>
          <w:b/>
          <w:bCs/>
          <w:color w:val="2E74B5" w:themeColor="accent1" w:themeShade="BF"/>
          <w:sz w:val="20"/>
          <w:szCs w:val="20"/>
          <w:lang w:eastAsia="es-MX"/>
        </w:rPr>
        <w:t xml:space="preserve"> </w:t>
      </w:r>
      <w:r w:rsidRPr="00E020E8">
        <w:rPr>
          <w:rFonts w:ascii="Arial" w:eastAsia="Times New Roman" w:hAnsi="Arial" w:cs="Arial"/>
          <w:color w:val="2E74B5" w:themeColor="accent1" w:themeShade="BF"/>
          <w:sz w:val="20"/>
          <w:szCs w:val="20"/>
          <w:lang w:eastAsia="es-MX"/>
        </w:rPr>
        <w:t>toda vez que el otorgamiento en una diversa puede constituir</w:t>
      </w:r>
      <w:r w:rsidRPr="00E020E8">
        <w:rPr>
          <w:rFonts w:ascii="Arial" w:eastAsia="Times New Roman" w:hAnsi="Arial" w:cs="Arial"/>
          <w:b/>
          <w:bCs/>
          <w:color w:val="2E74B5" w:themeColor="accent1" w:themeShade="BF"/>
          <w:sz w:val="20"/>
          <w:szCs w:val="20"/>
          <w:lang w:eastAsia="es-MX"/>
        </w:rPr>
        <w:t xml:space="preserve"> </w:t>
      </w:r>
      <w:r w:rsidRPr="00E020E8">
        <w:rPr>
          <w:rFonts w:ascii="Arial" w:eastAsia="Times New Roman" w:hAnsi="Arial" w:cs="Arial"/>
          <w:color w:val="2E74B5" w:themeColor="accent1" w:themeShade="BF"/>
          <w:sz w:val="20"/>
          <w:szCs w:val="20"/>
          <w:lang w:eastAsia="es-MX"/>
        </w:rPr>
        <w:t>un obstáculo material para el ejercicio del derecho</w:t>
      </w:r>
      <w:r w:rsidRPr="00E020E8">
        <w:rPr>
          <w:rFonts w:ascii="Arial" w:eastAsia="Times New Roman" w:hAnsi="Arial" w:cs="Arial"/>
          <w:b/>
          <w:bCs/>
          <w:color w:val="2E74B5" w:themeColor="accent1" w:themeShade="BF"/>
          <w:sz w:val="20"/>
          <w:szCs w:val="20"/>
          <w:lang w:eastAsia="es-MX"/>
        </w:rPr>
        <w:t xml:space="preserve"> </w:t>
      </w:r>
      <w:r w:rsidRPr="00E020E8">
        <w:rPr>
          <w:rFonts w:ascii="Arial" w:eastAsia="Times New Roman" w:hAnsi="Arial" w:cs="Arial"/>
          <w:color w:val="2E74B5" w:themeColor="accent1" w:themeShade="BF"/>
          <w:sz w:val="20"/>
          <w:szCs w:val="20"/>
          <w:lang w:eastAsia="es-MX"/>
        </w:rPr>
        <w:t>de acceso a la información tutelado en el artículo 6° constitucional.</w:t>
      </w:r>
      <w:r w:rsidRPr="00E020E8">
        <w:rPr>
          <w:rFonts w:ascii="Arial" w:eastAsia="Times New Roman" w:hAnsi="Arial" w:cs="Arial"/>
          <w:b/>
          <w:bCs/>
          <w:color w:val="2E74B5" w:themeColor="accent1" w:themeShade="BF"/>
          <w:sz w:val="20"/>
          <w:szCs w:val="20"/>
          <w:lang w:eastAsia="es-MX"/>
        </w:rPr>
        <w:t xml:space="preserve"> </w:t>
      </w:r>
      <w:r w:rsidRPr="00E020E8">
        <w:rPr>
          <w:rFonts w:ascii="Arial" w:eastAsia="Times New Roman" w:hAnsi="Arial" w:cs="Arial"/>
          <w:color w:val="2E74B5" w:themeColor="accent1" w:themeShade="BF"/>
          <w:sz w:val="20"/>
          <w:szCs w:val="20"/>
          <w:lang w:eastAsia="es-MX"/>
        </w:rPr>
        <w:t>Por lo tanto, si el peticionario solicita por vía</w:t>
      </w:r>
      <w:r w:rsidRPr="00E020E8">
        <w:rPr>
          <w:rFonts w:ascii="Arial" w:eastAsia="Times New Roman" w:hAnsi="Arial" w:cs="Arial"/>
          <w:b/>
          <w:bCs/>
          <w:color w:val="2E74B5" w:themeColor="accent1" w:themeShade="BF"/>
          <w:sz w:val="20"/>
          <w:szCs w:val="20"/>
          <w:lang w:eastAsia="es-MX"/>
        </w:rPr>
        <w:t xml:space="preserve"> </w:t>
      </w:r>
      <w:r w:rsidRPr="00E020E8">
        <w:rPr>
          <w:rFonts w:ascii="Arial" w:eastAsia="Times New Roman" w:hAnsi="Arial" w:cs="Arial"/>
          <w:color w:val="2E74B5" w:themeColor="accent1" w:themeShade="BF"/>
          <w:sz w:val="20"/>
          <w:szCs w:val="20"/>
          <w:lang w:eastAsia="es-MX"/>
        </w:rPr>
        <w:t>electrónica determinada información sin precisar la modalidad</w:t>
      </w:r>
      <w:r w:rsidRPr="00E020E8">
        <w:rPr>
          <w:rFonts w:ascii="Arial" w:eastAsia="Times New Roman" w:hAnsi="Arial" w:cs="Arial"/>
          <w:b/>
          <w:bCs/>
          <w:color w:val="2E74B5" w:themeColor="accent1" w:themeShade="BF"/>
          <w:sz w:val="20"/>
          <w:szCs w:val="20"/>
          <w:lang w:eastAsia="es-MX"/>
        </w:rPr>
        <w:t xml:space="preserve"> </w:t>
      </w:r>
      <w:r w:rsidRPr="00E020E8">
        <w:rPr>
          <w:rFonts w:ascii="Arial" w:eastAsia="Times New Roman" w:hAnsi="Arial" w:cs="Arial"/>
          <w:color w:val="2E74B5" w:themeColor="accent1" w:themeShade="BF"/>
          <w:sz w:val="20"/>
          <w:szCs w:val="20"/>
          <w:lang w:eastAsia="es-MX"/>
        </w:rPr>
        <w:t>de su preferencia debe presumirse que la requiere</w:t>
      </w:r>
      <w:r w:rsidRPr="00E020E8">
        <w:rPr>
          <w:rFonts w:ascii="Arial" w:eastAsia="Times New Roman" w:hAnsi="Arial" w:cs="Arial"/>
          <w:b/>
          <w:bCs/>
          <w:color w:val="2E74B5" w:themeColor="accent1" w:themeShade="BF"/>
          <w:sz w:val="20"/>
          <w:szCs w:val="20"/>
          <w:lang w:eastAsia="es-MX"/>
        </w:rPr>
        <w:t xml:space="preserve"> </w:t>
      </w:r>
      <w:r w:rsidRPr="00E020E8">
        <w:rPr>
          <w:rFonts w:ascii="Arial" w:eastAsia="Times New Roman" w:hAnsi="Arial" w:cs="Arial"/>
          <w:color w:val="2E74B5" w:themeColor="accent1" w:themeShade="BF"/>
          <w:sz w:val="20"/>
          <w:szCs w:val="20"/>
          <w:lang w:eastAsia="es-MX"/>
        </w:rPr>
        <w:t>por esa misma vía.</w:t>
      </w:r>
    </w:p>
    <w:p w:rsidR="006E30D6" w:rsidRPr="00E020E8" w:rsidRDefault="006E30D6" w:rsidP="00E020E8">
      <w:pPr>
        <w:autoSpaceDE w:val="0"/>
        <w:autoSpaceDN w:val="0"/>
        <w:adjustRightInd w:val="0"/>
        <w:spacing w:after="0"/>
        <w:jc w:val="both"/>
        <w:rPr>
          <w:rFonts w:ascii="Arial" w:eastAsia="Times New Roman" w:hAnsi="Arial" w:cs="Arial"/>
          <w:bCs/>
          <w:color w:val="2E74B5" w:themeColor="accent1" w:themeShade="BF"/>
          <w:sz w:val="24"/>
          <w:szCs w:val="24"/>
          <w:lang w:eastAsia="es-MX"/>
        </w:rPr>
      </w:pPr>
    </w:p>
    <w:p w:rsidR="006E30D6" w:rsidRPr="00E020E8" w:rsidRDefault="006E30D6" w:rsidP="00E020E8">
      <w:pPr>
        <w:autoSpaceDE w:val="0"/>
        <w:autoSpaceDN w:val="0"/>
        <w:adjustRightInd w:val="0"/>
        <w:spacing w:after="0"/>
        <w:ind w:firstLine="709"/>
        <w:jc w:val="both"/>
        <w:rPr>
          <w:rFonts w:ascii="Arial" w:eastAsia="Times New Roman" w:hAnsi="Arial" w:cs="Arial"/>
          <w:bCs/>
          <w:color w:val="2E74B5" w:themeColor="accent1" w:themeShade="BF"/>
          <w:sz w:val="24"/>
          <w:szCs w:val="24"/>
          <w:lang w:eastAsia="es-MX"/>
        </w:rPr>
      </w:pPr>
      <w:r w:rsidRPr="00E020E8">
        <w:rPr>
          <w:rFonts w:ascii="Arial" w:eastAsia="Times New Roman" w:hAnsi="Arial" w:cs="Arial"/>
          <w:bCs/>
          <w:color w:val="2E74B5" w:themeColor="accent1" w:themeShade="BF"/>
          <w:sz w:val="24"/>
          <w:szCs w:val="24"/>
          <w:lang w:eastAsia="es-MX"/>
        </w:rPr>
        <w:t>Criterio que de conformidad con el artículo 7°</w:t>
      </w:r>
      <w:r w:rsidRPr="00E020E8">
        <w:rPr>
          <w:rFonts w:ascii="Arial" w:eastAsia="Times New Roman" w:hAnsi="Arial" w:cs="Arial"/>
          <w:bCs/>
          <w:color w:val="2E74B5" w:themeColor="accent1" w:themeShade="BF"/>
          <w:sz w:val="24"/>
          <w:szCs w:val="24"/>
          <w:vertAlign w:val="superscript"/>
          <w:lang w:eastAsia="es-MX"/>
        </w:rPr>
        <w:footnoteReference w:id="7"/>
      </w:r>
      <w:r w:rsidRPr="00E020E8">
        <w:rPr>
          <w:rFonts w:ascii="Arial" w:eastAsia="Times New Roman" w:hAnsi="Arial" w:cs="Arial"/>
          <w:bCs/>
          <w:color w:val="2E74B5" w:themeColor="accent1" w:themeShade="BF"/>
          <w:sz w:val="24"/>
          <w:szCs w:val="24"/>
          <w:lang w:eastAsia="es-MX"/>
        </w:rPr>
        <w:t xml:space="preserve"> de la Ley de Transparencia resulta aplicable al caso concreto, pues el mismo es para hacer efectivo el derecho de acceso a la información pública, ya que orienta a esta Comisión de Transparencia para favorecer el principio de máxima publicidad y disponibilidad de la información en posesión del sujeto obligado. </w:t>
      </w:r>
    </w:p>
    <w:p w:rsidR="006E30D6" w:rsidRPr="00E020E8" w:rsidRDefault="006E30D6" w:rsidP="00E020E8">
      <w:pPr>
        <w:pStyle w:val="corte4fondo"/>
        <w:tabs>
          <w:tab w:val="left" w:pos="567"/>
        </w:tabs>
        <w:spacing w:line="276" w:lineRule="auto"/>
        <w:rPr>
          <w:rFonts w:cs="Arial"/>
          <w:color w:val="2E74B5" w:themeColor="accent1" w:themeShade="BF"/>
          <w:sz w:val="24"/>
          <w:szCs w:val="24"/>
        </w:rPr>
      </w:pPr>
    </w:p>
    <w:p w:rsidR="006E30D6" w:rsidRPr="00E020E8" w:rsidRDefault="006E30D6" w:rsidP="00E020E8">
      <w:pPr>
        <w:pStyle w:val="corte4fondo"/>
        <w:tabs>
          <w:tab w:val="left" w:pos="567"/>
        </w:tabs>
        <w:spacing w:line="276" w:lineRule="auto"/>
        <w:rPr>
          <w:rFonts w:cs="Arial"/>
          <w:color w:val="2E74B5" w:themeColor="accent1" w:themeShade="BF"/>
          <w:sz w:val="24"/>
          <w:szCs w:val="24"/>
        </w:rPr>
      </w:pPr>
      <w:r w:rsidRPr="00E020E8">
        <w:rPr>
          <w:rFonts w:cs="Arial"/>
          <w:color w:val="2E74B5" w:themeColor="accent1" w:themeShade="BF"/>
          <w:sz w:val="24"/>
          <w:szCs w:val="24"/>
        </w:rPr>
        <w:t>Sentado lo anterior, la entrega de la información deberá de hacerse por el medio designado por el recurrente y, sólo en caso de que ente obligado no ofrezca esa modalidad entonces deberá de fundar y motivar su respuesta del porqué no la tiene en esa modalidad, así como de ofrecer todos aquéllos para que el recurrente pueda allegarse de la información.</w:t>
      </w:r>
    </w:p>
    <w:p w:rsidR="006E30D6" w:rsidRPr="00E020E8" w:rsidRDefault="006E30D6" w:rsidP="00E020E8">
      <w:pPr>
        <w:pStyle w:val="corte4fondo"/>
        <w:tabs>
          <w:tab w:val="left" w:pos="567"/>
        </w:tabs>
        <w:spacing w:line="276" w:lineRule="auto"/>
        <w:rPr>
          <w:rFonts w:cs="Arial"/>
          <w:color w:val="2E74B5" w:themeColor="accent1" w:themeShade="BF"/>
          <w:sz w:val="24"/>
          <w:szCs w:val="24"/>
        </w:rPr>
      </w:pPr>
    </w:p>
    <w:p w:rsidR="006E30D6" w:rsidRPr="00E020E8" w:rsidRDefault="006E30D6" w:rsidP="00E020E8">
      <w:pPr>
        <w:pStyle w:val="corte4fondo"/>
        <w:tabs>
          <w:tab w:val="left" w:pos="567"/>
        </w:tabs>
        <w:spacing w:line="276" w:lineRule="auto"/>
        <w:rPr>
          <w:rFonts w:cs="Arial"/>
          <w:color w:val="2E74B5" w:themeColor="accent1" w:themeShade="BF"/>
          <w:sz w:val="24"/>
          <w:szCs w:val="24"/>
        </w:rPr>
      </w:pPr>
      <w:r w:rsidRPr="00E020E8">
        <w:rPr>
          <w:rFonts w:cs="Arial"/>
          <w:color w:val="2E74B5" w:themeColor="accent1" w:themeShade="BF"/>
          <w:sz w:val="24"/>
          <w:szCs w:val="24"/>
        </w:rPr>
        <w:t>En el entendido de que, si el sujeto obligado no tiene la información en la modalidad electrónica debe atender los artículos 22, 62 y 165</w:t>
      </w:r>
      <w:r w:rsidRPr="00E020E8">
        <w:rPr>
          <w:rStyle w:val="Refdenotaalpie"/>
          <w:rFonts w:cs="Arial"/>
          <w:color w:val="2E74B5" w:themeColor="accent1" w:themeShade="BF"/>
          <w:sz w:val="24"/>
          <w:szCs w:val="24"/>
        </w:rPr>
        <w:footnoteReference w:id="8"/>
      </w:r>
      <w:r w:rsidRPr="00E020E8">
        <w:rPr>
          <w:rFonts w:cs="Arial"/>
          <w:color w:val="2E74B5" w:themeColor="accent1" w:themeShade="BF"/>
          <w:sz w:val="24"/>
          <w:szCs w:val="24"/>
        </w:rPr>
        <w:t xml:space="preserve">, esto es propiciar las condiciones necesarias para que el procedimiento de acceso y entrega de la información, </w:t>
      </w:r>
      <w:r w:rsidRPr="00E020E8">
        <w:rPr>
          <w:rFonts w:cs="Arial"/>
          <w:b/>
          <w:color w:val="2E74B5" w:themeColor="accent1" w:themeShade="BF"/>
          <w:sz w:val="24"/>
          <w:szCs w:val="24"/>
        </w:rPr>
        <w:t>no más de veinte hojas</w:t>
      </w:r>
      <w:r w:rsidRPr="00E020E8">
        <w:rPr>
          <w:rFonts w:cs="Arial"/>
          <w:color w:val="2E74B5" w:themeColor="accent1" w:themeShade="BF"/>
          <w:sz w:val="24"/>
          <w:szCs w:val="24"/>
        </w:rPr>
        <w:t xml:space="preserve"> </w:t>
      </w:r>
      <w:r w:rsidRPr="00E020E8">
        <w:rPr>
          <w:rFonts w:cs="Arial"/>
          <w:b/>
          <w:color w:val="2E74B5" w:themeColor="accent1" w:themeShade="BF"/>
          <w:sz w:val="24"/>
          <w:szCs w:val="24"/>
        </w:rPr>
        <w:t xml:space="preserve">sean entregadas sin costo </w:t>
      </w:r>
      <w:r w:rsidRPr="00E020E8">
        <w:rPr>
          <w:rFonts w:cs="Arial"/>
          <w:color w:val="2E74B5" w:themeColor="accent1" w:themeShade="BF"/>
          <w:sz w:val="24"/>
          <w:szCs w:val="24"/>
        </w:rPr>
        <w:t>en atención al principio de máxima publicidad, ello en virtud de que sólo en caso de que no se le pueda permitir al solicitante la información en dichos medios electrónicos.</w:t>
      </w:r>
    </w:p>
    <w:p w:rsidR="006E30D6" w:rsidRPr="00E020E8" w:rsidRDefault="006E30D6" w:rsidP="00E020E8">
      <w:pPr>
        <w:pStyle w:val="corte4fondo"/>
        <w:tabs>
          <w:tab w:val="left" w:pos="567"/>
        </w:tabs>
        <w:spacing w:line="276" w:lineRule="auto"/>
        <w:ind w:firstLine="0"/>
        <w:rPr>
          <w:rFonts w:cs="Arial"/>
          <w:color w:val="2E74B5" w:themeColor="accent1" w:themeShade="BF"/>
          <w:sz w:val="24"/>
          <w:szCs w:val="24"/>
        </w:rPr>
      </w:pPr>
    </w:p>
    <w:p w:rsidR="006E30D6" w:rsidRPr="00E020E8" w:rsidRDefault="006E30D6" w:rsidP="00E020E8">
      <w:pPr>
        <w:pStyle w:val="corte4fondo"/>
        <w:tabs>
          <w:tab w:val="left" w:pos="567"/>
        </w:tabs>
        <w:spacing w:line="276" w:lineRule="auto"/>
        <w:ind w:firstLine="0"/>
        <w:rPr>
          <w:rFonts w:cs="Arial"/>
          <w:color w:val="2E74B5" w:themeColor="accent1" w:themeShade="BF"/>
          <w:sz w:val="24"/>
          <w:szCs w:val="24"/>
        </w:rPr>
      </w:pPr>
      <w:r w:rsidRPr="00E020E8">
        <w:rPr>
          <w:rFonts w:cs="Arial"/>
          <w:color w:val="2E74B5" w:themeColor="accent1" w:themeShade="BF"/>
          <w:sz w:val="25"/>
          <w:szCs w:val="25"/>
        </w:rPr>
        <w:lastRenderedPageBreak/>
        <w:tab/>
      </w:r>
      <w:r w:rsidRPr="00E020E8">
        <w:rPr>
          <w:rFonts w:cs="Arial"/>
          <w:color w:val="2E74B5" w:themeColor="accent1" w:themeShade="BF"/>
          <w:sz w:val="24"/>
          <w:szCs w:val="24"/>
        </w:rPr>
        <w:t>Además de que, si no cuenta con la información en medios electrónicos –aparte de la entrega de forma gratuita de no más de veinte hojas simples– el ente obligado para la reproducción de la información, debe de proporcionar todos aquéllos elementos que le permitan al recurrente conocer, por un lado, la imposibilidad técnica que aduce para enviarla de forma electrónica y, por otro lado, para conocer de cuántos documentos o fojas consta la información, así como los costos de la reproducción de la información, horarios de atención al público, lugar de las oficinas para el pago y entrega de la información y servidor o servidores públicos responsables de la atención.</w:t>
      </w:r>
    </w:p>
    <w:p w:rsidR="006E30D6" w:rsidRPr="00E020E8" w:rsidRDefault="006E30D6" w:rsidP="00E020E8">
      <w:pPr>
        <w:pStyle w:val="corte4fondo"/>
        <w:spacing w:line="276" w:lineRule="auto"/>
        <w:ind w:firstLine="0"/>
        <w:rPr>
          <w:rFonts w:cs="Arial"/>
          <w:color w:val="2E74B5" w:themeColor="accent1" w:themeShade="BF"/>
          <w:sz w:val="24"/>
          <w:szCs w:val="24"/>
        </w:rPr>
      </w:pPr>
    </w:p>
    <w:p w:rsidR="006E30D6" w:rsidRPr="00E020E8" w:rsidRDefault="008A04A4" w:rsidP="00E020E8">
      <w:pPr>
        <w:pStyle w:val="corte4fondo"/>
        <w:spacing w:line="276" w:lineRule="auto"/>
        <w:ind w:firstLine="708"/>
        <w:rPr>
          <w:rFonts w:cs="Arial"/>
          <w:color w:val="2E74B5" w:themeColor="accent1" w:themeShade="BF"/>
          <w:sz w:val="24"/>
          <w:szCs w:val="24"/>
        </w:rPr>
      </w:pPr>
      <w:r>
        <w:rPr>
          <w:rFonts w:cs="Arial"/>
          <w:b/>
          <w:color w:val="2E74B5" w:themeColor="accent1" w:themeShade="BF"/>
          <w:sz w:val="24"/>
          <w:szCs w:val="24"/>
        </w:rPr>
        <w:t>7.3</w:t>
      </w:r>
      <w:r w:rsidR="006E30D6" w:rsidRPr="00E020E8">
        <w:rPr>
          <w:rFonts w:cs="Arial"/>
          <w:b/>
          <w:color w:val="2E74B5" w:themeColor="accent1" w:themeShade="BF"/>
          <w:sz w:val="24"/>
          <w:szCs w:val="24"/>
        </w:rPr>
        <w:t>.</w:t>
      </w:r>
      <w:r w:rsidR="006E30D6" w:rsidRPr="00E020E8">
        <w:rPr>
          <w:rFonts w:cs="Arial"/>
          <w:color w:val="2E74B5" w:themeColor="accent1" w:themeShade="BF"/>
          <w:sz w:val="24"/>
          <w:szCs w:val="24"/>
        </w:rPr>
        <w:t xml:space="preserve"> </w:t>
      </w:r>
      <w:r w:rsidR="006E30D6" w:rsidRPr="00E020E8">
        <w:rPr>
          <w:rFonts w:cs="Arial"/>
          <w:b/>
          <w:color w:val="2E74B5" w:themeColor="accent1" w:themeShade="BF"/>
          <w:sz w:val="24"/>
          <w:szCs w:val="24"/>
        </w:rPr>
        <w:t>Inexistencia de la información</w:t>
      </w:r>
      <w:r w:rsidR="006E30D6" w:rsidRPr="00E020E8">
        <w:rPr>
          <w:rFonts w:cs="Arial"/>
          <w:color w:val="2E74B5" w:themeColor="accent1" w:themeShade="BF"/>
          <w:sz w:val="24"/>
          <w:szCs w:val="24"/>
        </w:rPr>
        <w:t>.</w:t>
      </w:r>
    </w:p>
    <w:p w:rsidR="006E30D6" w:rsidRPr="00E020E8" w:rsidRDefault="006E30D6" w:rsidP="00E020E8">
      <w:pPr>
        <w:pStyle w:val="corte4fondo"/>
        <w:spacing w:line="276" w:lineRule="auto"/>
        <w:ind w:firstLine="0"/>
        <w:rPr>
          <w:rFonts w:cs="Arial"/>
          <w:color w:val="2E74B5" w:themeColor="accent1" w:themeShade="BF"/>
          <w:sz w:val="24"/>
          <w:szCs w:val="24"/>
        </w:rPr>
      </w:pPr>
    </w:p>
    <w:p w:rsidR="006E30D6" w:rsidRPr="00E020E8" w:rsidRDefault="006E30D6" w:rsidP="00E020E8">
      <w:pPr>
        <w:pStyle w:val="corte4fondo"/>
        <w:spacing w:line="276" w:lineRule="auto"/>
        <w:ind w:firstLine="0"/>
        <w:rPr>
          <w:rFonts w:cs="Arial"/>
          <w:color w:val="2E74B5" w:themeColor="accent1" w:themeShade="BF"/>
          <w:sz w:val="24"/>
          <w:szCs w:val="24"/>
        </w:rPr>
      </w:pPr>
      <w:r w:rsidRPr="00E020E8">
        <w:rPr>
          <w:rFonts w:cs="Arial"/>
          <w:color w:val="2E74B5" w:themeColor="accent1" w:themeShade="BF"/>
          <w:sz w:val="24"/>
          <w:szCs w:val="24"/>
        </w:rPr>
        <w:tab/>
        <w:t xml:space="preserve">Ahora, en caso de que el sujeto obligado señale que la información no existe, debe, de acuerdo al procedimiento establecido en la ley de la materia declarar formalmente la inexistencia de la misma de acuerdo al procedimiento establecido en la propia Ley de Transparencia y Acceso a la Información Pública del Estado. </w:t>
      </w:r>
    </w:p>
    <w:p w:rsidR="006E30D6" w:rsidRPr="00E020E8" w:rsidRDefault="006E30D6" w:rsidP="00E020E8">
      <w:pPr>
        <w:pStyle w:val="corte4fondo"/>
        <w:spacing w:line="276" w:lineRule="auto"/>
        <w:ind w:firstLine="0"/>
        <w:rPr>
          <w:rFonts w:cs="Arial"/>
          <w:color w:val="2E74B5" w:themeColor="accent1" w:themeShade="BF"/>
          <w:sz w:val="24"/>
          <w:szCs w:val="24"/>
        </w:rPr>
      </w:pPr>
    </w:p>
    <w:p w:rsidR="006E30D6" w:rsidRPr="00E020E8" w:rsidRDefault="008A04A4" w:rsidP="00E020E8">
      <w:pPr>
        <w:pStyle w:val="corte4fondo"/>
        <w:spacing w:line="276" w:lineRule="auto"/>
        <w:rPr>
          <w:rFonts w:cs="Arial"/>
          <w:color w:val="2E74B5" w:themeColor="accent1" w:themeShade="BF"/>
          <w:sz w:val="24"/>
          <w:szCs w:val="24"/>
        </w:rPr>
      </w:pPr>
      <w:r>
        <w:rPr>
          <w:rFonts w:cs="Arial"/>
          <w:b/>
          <w:color w:val="2E74B5" w:themeColor="accent1" w:themeShade="BF"/>
          <w:sz w:val="24"/>
          <w:szCs w:val="24"/>
        </w:rPr>
        <w:t>7.4</w:t>
      </w:r>
      <w:r w:rsidR="006E30D6" w:rsidRPr="00E020E8">
        <w:rPr>
          <w:rFonts w:cs="Arial"/>
          <w:b/>
          <w:color w:val="2E74B5" w:themeColor="accent1" w:themeShade="BF"/>
          <w:sz w:val="24"/>
          <w:szCs w:val="24"/>
        </w:rPr>
        <w:t xml:space="preserve">. </w:t>
      </w:r>
      <w:r w:rsidR="000B5D95">
        <w:rPr>
          <w:rFonts w:cs="Arial"/>
          <w:b/>
          <w:color w:val="2E74B5" w:themeColor="accent1" w:themeShade="BF"/>
          <w:sz w:val="24"/>
          <w:szCs w:val="24"/>
        </w:rPr>
        <w:t>Sentido y E</w:t>
      </w:r>
      <w:r w:rsidR="006E30D6" w:rsidRPr="00E020E8">
        <w:rPr>
          <w:rFonts w:cs="Arial"/>
          <w:b/>
          <w:color w:val="2E74B5" w:themeColor="accent1" w:themeShade="BF"/>
          <w:sz w:val="24"/>
          <w:szCs w:val="24"/>
        </w:rPr>
        <w:t xml:space="preserve">fectos de la Resolución.  </w:t>
      </w:r>
    </w:p>
    <w:p w:rsidR="006E30D6" w:rsidRPr="00E020E8" w:rsidRDefault="006E30D6" w:rsidP="00E020E8">
      <w:pPr>
        <w:pStyle w:val="corte4fondo"/>
        <w:spacing w:line="276" w:lineRule="auto"/>
        <w:rPr>
          <w:rFonts w:cs="Arial"/>
          <w:color w:val="2E74B5" w:themeColor="accent1" w:themeShade="BF"/>
          <w:sz w:val="24"/>
          <w:szCs w:val="24"/>
        </w:rPr>
      </w:pPr>
    </w:p>
    <w:p w:rsidR="00123E81" w:rsidRPr="00E020E8" w:rsidRDefault="00123E81" w:rsidP="00E020E8">
      <w:pPr>
        <w:pStyle w:val="corte4fondo"/>
        <w:tabs>
          <w:tab w:val="left" w:pos="567"/>
        </w:tabs>
        <w:spacing w:line="276" w:lineRule="auto"/>
        <w:rPr>
          <w:rFonts w:cs="Arial"/>
          <w:color w:val="2E74B5" w:themeColor="accent1" w:themeShade="BF"/>
          <w:sz w:val="24"/>
          <w:szCs w:val="24"/>
        </w:rPr>
      </w:pPr>
      <w:r w:rsidRPr="00E020E8">
        <w:rPr>
          <w:rFonts w:cs="Arial"/>
          <w:color w:val="2E74B5" w:themeColor="accent1" w:themeShade="BF"/>
          <w:sz w:val="24"/>
          <w:szCs w:val="24"/>
        </w:rPr>
        <w:t xml:space="preserve">En las condiciones anotadas y, al haber resultado fundados los agravios que hizo valer la recurrente, lo procedente es que esta Comisión Estatal de Garantía de Acceso a la Información Pública de conformidad con el artículo 175, fracción III de la Ley de Transparencia y Acceso a la Información Pública del Estado </w:t>
      </w:r>
      <w:r w:rsidRPr="00E020E8">
        <w:rPr>
          <w:rFonts w:cs="Arial"/>
          <w:b/>
          <w:color w:val="2E74B5" w:themeColor="accent1" w:themeShade="BF"/>
          <w:sz w:val="24"/>
          <w:szCs w:val="24"/>
        </w:rPr>
        <w:t xml:space="preserve">revoca </w:t>
      </w:r>
      <w:r w:rsidRPr="00E020E8">
        <w:rPr>
          <w:rFonts w:cs="Arial"/>
          <w:color w:val="2E74B5" w:themeColor="accent1" w:themeShade="BF"/>
          <w:sz w:val="24"/>
          <w:szCs w:val="24"/>
        </w:rPr>
        <w:t>la respuesta proporcionada por los sujetos obligados y, éste emita otra en la que:</w:t>
      </w:r>
    </w:p>
    <w:p w:rsidR="00D811F3" w:rsidRPr="00E020E8" w:rsidRDefault="00D811F3" w:rsidP="00E020E8">
      <w:pPr>
        <w:pStyle w:val="corte4fondo"/>
        <w:spacing w:line="276" w:lineRule="auto"/>
        <w:ind w:left="2149" w:firstLine="0"/>
        <w:rPr>
          <w:rFonts w:cs="Arial"/>
          <w:color w:val="2E74B5" w:themeColor="accent1" w:themeShade="BF"/>
          <w:sz w:val="24"/>
          <w:szCs w:val="24"/>
          <w:highlight w:val="cyan"/>
          <w:lang w:val="es-ES"/>
        </w:rPr>
      </w:pPr>
    </w:p>
    <w:p w:rsidR="00123E81" w:rsidRPr="00E020E8" w:rsidRDefault="00D811F3" w:rsidP="00E020E8">
      <w:pPr>
        <w:pStyle w:val="Prrafodelista"/>
        <w:numPr>
          <w:ilvl w:val="0"/>
          <w:numId w:val="8"/>
        </w:numPr>
        <w:spacing w:line="276" w:lineRule="auto"/>
        <w:ind w:left="0" w:firstLine="207"/>
        <w:rPr>
          <w:rFonts w:ascii="Arial" w:hAnsi="Arial" w:cs="Arial"/>
          <w:i/>
          <w:color w:val="2E74B5" w:themeColor="accent1" w:themeShade="BF"/>
          <w:sz w:val="20"/>
          <w:szCs w:val="20"/>
        </w:rPr>
      </w:pPr>
      <w:r w:rsidRPr="00E020E8">
        <w:rPr>
          <w:rFonts w:ascii="Arial" w:hAnsi="Arial" w:cs="Arial"/>
          <w:color w:val="2E74B5" w:themeColor="accent1" w:themeShade="BF"/>
          <w:sz w:val="24"/>
          <w:lang w:val="es-MX"/>
        </w:rPr>
        <w:t>Realice todas las gestiones necesarias para permitir y entregar la información</w:t>
      </w:r>
      <w:r w:rsidR="000418BE" w:rsidRPr="00E020E8">
        <w:rPr>
          <w:rFonts w:ascii="Arial" w:hAnsi="Arial" w:cs="Arial"/>
          <w:color w:val="2E74B5" w:themeColor="accent1" w:themeShade="BF"/>
          <w:sz w:val="24"/>
        </w:rPr>
        <w:t xml:space="preserve"> solicitada</w:t>
      </w:r>
      <w:r w:rsidRPr="00E020E8">
        <w:rPr>
          <w:rFonts w:ascii="Arial" w:hAnsi="Arial" w:cs="Arial"/>
          <w:color w:val="2E74B5" w:themeColor="accent1" w:themeShade="BF"/>
          <w:sz w:val="24"/>
        </w:rPr>
        <w:t xml:space="preserve"> </w:t>
      </w:r>
      <w:r w:rsidR="000418BE" w:rsidRPr="00E020E8">
        <w:rPr>
          <w:rFonts w:ascii="Arial" w:hAnsi="Arial" w:cs="Arial"/>
          <w:color w:val="4F81BD"/>
          <w:sz w:val="24"/>
        </w:rPr>
        <w:t xml:space="preserve">y que es relativa a: </w:t>
      </w:r>
      <w:r w:rsidR="000418BE" w:rsidRPr="00E020E8">
        <w:rPr>
          <w:rFonts w:ascii="Arial" w:hAnsi="Arial" w:cs="Arial"/>
          <w:i/>
          <w:color w:val="2E74B5" w:themeColor="accent1" w:themeShade="BF"/>
          <w:sz w:val="20"/>
          <w:szCs w:val="20"/>
        </w:rPr>
        <w:t>“…1.- El servicio médico que ofrece gobierno del estado a sus trabajadores es único y exclusivo para los trabajadores en función?</w:t>
      </w:r>
      <w:r w:rsidR="007A6882" w:rsidRPr="00E020E8">
        <w:rPr>
          <w:rFonts w:ascii="Arial" w:hAnsi="Arial" w:cs="Arial"/>
          <w:i/>
          <w:color w:val="2E74B5" w:themeColor="accent1" w:themeShade="BF"/>
          <w:sz w:val="20"/>
          <w:szCs w:val="20"/>
        </w:rPr>
        <w:t xml:space="preserve"> </w:t>
      </w:r>
    </w:p>
    <w:p w:rsidR="00123E81" w:rsidRPr="00E020E8" w:rsidRDefault="000418BE" w:rsidP="00E020E8">
      <w:pPr>
        <w:pStyle w:val="Prrafodelista"/>
        <w:spacing w:line="276" w:lineRule="auto"/>
        <w:ind w:left="207"/>
        <w:rPr>
          <w:rFonts w:ascii="Arial" w:hAnsi="Arial" w:cs="Arial"/>
          <w:i/>
          <w:color w:val="2E74B5" w:themeColor="accent1" w:themeShade="BF"/>
          <w:sz w:val="20"/>
          <w:szCs w:val="20"/>
        </w:rPr>
      </w:pPr>
      <w:r w:rsidRPr="00E020E8">
        <w:rPr>
          <w:rFonts w:ascii="Arial" w:hAnsi="Arial" w:cs="Arial"/>
          <w:i/>
          <w:color w:val="2E74B5" w:themeColor="accent1" w:themeShade="BF"/>
          <w:sz w:val="20"/>
          <w:szCs w:val="20"/>
        </w:rPr>
        <w:t>2.- El derecho de afiliación al servicio médico es extensivo a esposa e hijos solamente?</w:t>
      </w:r>
      <w:r w:rsidR="007A6882" w:rsidRPr="00E020E8">
        <w:rPr>
          <w:rFonts w:ascii="Arial" w:hAnsi="Arial" w:cs="Arial"/>
          <w:i/>
          <w:color w:val="2E74B5" w:themeColor="accent1" w:themeShade="BF"/>
          <w:sz w:val="20"/>
          <w:szCs w:val="20"/>
        </w:rPr>
        <w:t xml:space="preserve"> </w:t>
      </w:r>
    </w:p>
    <w:p w:rsidR="00123E81" w:rsidRPr="00E020E8" w:rsidRDefault="000418BE" w:rsidP="00E020E8">
      <w:pPr>
        <w:pStyle w:val="Prrafodelista"/>
        <w:spacing w:line="276" w:lineRule="auto"/>
        <w:ind w:left="207"/>
        <w:rPr>
          <w:rFonts w:ascii="Arial" w:hAnsi="Arial" w:cs="Arial"/>
          <w:i/>
          <w:color w:val="2E74B5" w:themeColor="accent1" w:themeShade="BF"/>
          <w:sz w:val="20"/>
          <w:szCs w:val="20"/>
        </w:rPr>
      </w:pPr>
      <w:r w:rsidRPr="00E020E8">
        <w:rPr>
          <w:rFonts w:ascii="Arial" w:hAnsi="Arial" w:cs="Arial"/>
          <w:i/>
          <w:color w:val="2E74B5" w:themeColor="accent1" w:themeShade="BF"/>
          <w:sz w:val="20"/>
          <w:szCs w:val="20"/>
        </w:rPr>
        <w:t xml:space="preserve">3.- En qué casos un trabajador puede afiliar al servicio médico al que tiene derecho a sus padres, o algún familiar, es decir: </w:t>
      </w:r>
      <w:proofErr w:type="gramStart"/>
      <w:r w:rsidRPr="00E020E8">
        <w:rPr>
          <w:rFonts w:ascii="Arial" w:hAnsi="Arial" w:cs="Arial"/>
          <w:i/>
          <w:color w:val="2E74B5" w:themeColor="accent1" w:themeShade="BF"/>
          <w:sz w:val="20"/>
          <w:szCs w:val="20"/>
        </w:rPr>
        <w:t>a su madre y padre o hermanos?</w:t>
      </w:r>
      <w:proofErr w:type="gramEnd"/>
      <w:r w:rsidR="007A6882" w:rsidRPr="00E020E8">
        <w:rPr>
          <w:rFonts w:ascii="Arial" w:hAnsi="Arial" w:cs="Arial"/>
          <w:i/>
          <w:color w:val="2E74B5" w:themeColor="accent1" w:themeShade="BF"/>
          <w:sz w:val="20"/>
          <w:szCs w:val="20"/>
        </w:rPr>
        <w:t xml:space="preserve"> </w:t>
      </w:r>
    </w:p>
    <w:p w:rsidR="000418BE" w:rsidRPr="00E020E8" w:rsidRDefault="000418BE" w:rsidP="00E020E8">
      <w:pPr>
        <w:pStyle w:val="Prrafodelista"/>
        <w:spacing w:line="276" w:lineRule="auto"/>
        <w:ind w:left="207"/>
        <w:rPr>
          <w:rFonts w:ascii="Arial" w:hAnsi="Arial" w:cs="Arial"/>
          <w:i/>
          <w:color w:val="2E74B5" w:themeColor="accent1" w:themeShade="BF"/>
          <w:sz w:val="20"/>
          <w:szCs w:val="20"/>
        </w:rPr>
      </w:pPr>
      <w:r w:rsidRPr="00E020E8">
        <w:rPr>
          <w:rFonts w:ascii="Arial" w:hAnsi="Arial" w:cs="Arial"/>
          <w:i/>
          <w:color w:val="2E74B5" w:themeColor="accent1" w:themeShade="BF"/>
          <w:sz w:val="20"/>
          <w:szCs w:val="20"/>
        </w:rPr>
        <w:t>4.- En caso de que no proceda la afiliación de madre o padre, e inclusive de hermanos, demostrar con la plantilla vigente que no se encuentran afiliados al servicio médico personas que no tienen derecho a este (o que no existan aviadores dentro del mismo y que no le cueste mantener personas ajenas al servicio) la plantilla deberá ser como sigue: - Nombre del Trabajador</w:t>
      </w:r>
      <w:r w:rsidR="00123E81" w:rsidRPr="00E020E8">
        <w:rPr>
          <w:rFonts w:ascii="Arial" w:hAnsi="Arial" w:cs="Arial"/>
          <w:i/>
          <w:color w:val="2E74B5" w:themeColor="accent1" w:themeShade="BF"/>
          <w:sz w:val="20"/>
          <w:szCs w:val="20"/>
        </w:rPr>
        <w:t xml:space="preserve">, </w:t>
      </w:r>
      <w:r w:rsidRPr="00E020E8">
        <w:rPr>
          <w:rFonts w:ascii="Arial" w:hAnsi="Arial" w:cs="Arial"/>
          <w:i/>
          <w:color w:val="2E74B5" w:themeColor="accent1" w:themeShade="BF"/>
          <w:sz w:val="20"/>
          <w:szCs w:val="20"/>
        </w:rPr>
        <w:t>- Beneficiarios:</w:t>
      </w:r>
      <w:r w:rsidR="00123E81" w:rsidRPr="00E020E8">
        <w:rPr>
          <w:rFonts w:ascii="Arial" w:hAnsi="Arial" w:cs="Arial"/>
          <w:i/>
          <w:color w:val="2E74B5" w:themeColor="accent1" w:themeShade="BF"/>
          <w:sz w:val="20"/>
          <w:szCs w:val="20"/>
        </w:rPr>
        <w:t xml:space="preserve"> </w:t>
      </w:r>
      <w:r w:rsidRPr="00E020E8">
        <w:rPr>
          <w:rFonts w:ascii="Arial" w:hAnsi="Arial" w:cs="Arial"/>
          <w:i/>
          <w:color w:val="2E74B5" w:themeColor="accent1" w:themeShade="BF"/>
          <w:sz w:val="20"/>
          <w:szCs w:val="20"/>
        </w:rPr>
        <w:tab/>
        <w:t>Hijo</w:t>
      </w:r>
      <w:r w:rsidR="00123E81" w:rsidRPr="00E020E8">
        <w:rPr>
          <w:rFonts w:ascii="Arial" w:hAnsi="Arial" w:cs="Arial"/>
          <w:i/>
          <w:color w:val="2E74B5" w:themeColor="accent1" w:themeShade="BF"/>
          <w:sz w:val="20"/>
          <w:szCs w:val="20"/>
        </w:rPr>
        <w:t xml:space="preserve">, </w:t>
      </w:r>
      <w:r w:rsidRPr="00E020E8">
        <w:rPr>
          <w:rFonts w:ascii="Arial" w:hAnsi="Arial" w:cs="Arial"/>
          <w:i/>
          <w:color w:val="2E74B5" w:themeColor="accent1" w:themeShade="BF"/>
          <w:sz w:val="20"/>
          <w:szCs w:val="20"/>
        </w:rPr>
        <w:t>Esposa</w:t>
      </w:r>
      <w:r w:rsidR="00123E81" w:rsidRPr="00E020E8">
        <w:rPr>
          <w:rFonts w:ascii="Arial" w:hAnsi="Arial" w:cs="Arial"/>
          <w:i/>
          <w:color w:val="2E74B5" w:themeColor="accent1" w:themeShade="BF"/>
          <w:sz w:val="20"/>
          <w:szCs w:val="20"/>
        </w:rPr>
        <w:t xml:space="preserve"> </w:t>
      </w:r>
      <w:r w:rsidRPr="00E020E8">
        <w:rPr>
          <w:rFonts w:ascii="Arial" w:hAnsi="Arial" w:cs="Arial"/>
          <w:i/>
          <w:color w:val="2E74B5" w:themeColor="accent1" w:themeShade="BF"/>
          <w:sz w:val="20"/>
          <w:szCs w:val="20"/>
        </w:rPr>
        <w:t>Y si aplica deberá detallar si está afiliado la o él:</w:t>
      </w:r>
    </w:p>
    <w:p w:rsidR="00123E81" w:rsidRPr="00E020E8" w:rsidRDefault="000418BE" w:rsidP="00E020E8">
      <w:pPr>
        <w:spacing w:after="0"/>
        <w:ind w:firstLine="207"/>
        <w:jc w:val="both"/>
        <w:rPr>
          <w:rFonts w:ascii="Arial" w:hAnsi="Arial" w:cs="Arial"/>
          <w:i/>
          <w:color w:val="2E74B5" w:themeColor="accent1" w:themeShade="BF"/>
          <w:sz w:val="20"/>
          <w:szCs w:val="20"/>
        </w:rPr>
      </w:pPr>
      <w:r w:rsidRPr="00E020E8">
        <w:rPr>
          <w:rFonts w:ascii="Arial" w:hAnsi="Arial" w:cs="Arial"/>
          <w:i/>
          <w:color w:val="2E74B5" w:themeColor="accent1" w:themeShade="BF"/>
          <w:sz w:val="20"/>
          <w:szCs w:val="20"/>
        </w:rPr>
        <w:t>Madre</w:t>
      </w:r>
      <w:r w:rsidR="00123E81" w:rsidRPr="00E020E8">
        <w:rPr>
          <w:rFonts w:ascii="Arial" w:hAnsi="Arial" w:cs="Arial"/>
          <w:i/>
          <w:color w:val="2E74B5" w:themeColor="accent1" w:themeShade="BF"/>
          <w:sz w:val="20"/>
          <w:szCs w:val="20"/>
        </w:rPr>
        <w:t xml:space="preserve">, </w:t>
      </w:r>
      <w:r w:rsidRPr="00E020E8">
        <w:rPr>
          <w:rFonts w:ascii="Arial" w:hAnsi="Arial" w:cs="Arial"/>
          <w:i/>
          <w:color w:val="2E74B5" w:themeColor="accent1" w:themeShade="BF"/>
          <w:sz w:val="20"/>
          <w:szCs w:val="20"/>
        </w:rPr>
        <w:tab/>
        <w:t>Padre</w:t>
      </w:r>
      <w:r w:rsidR="00123E81" w:rsidRPr="00E020E8">
        <w:rPr>
          <w:rFonts w:ascii="Arial" w:hAnsi="Arial" w:cs="Arial"/>
          <w:i/>
          <w:color w:val="2E74B5" w:themeColor="accent1" w:themeShade="BF"/>
          <w:sz w:val="20"/>
          <w:szCs w:val="20"/>
        </w:rPr>
        <w:t xml:space="preserve">, </w:t>
      </w:r>
      <w:r w:rsidRPr="00E020E8">
        <w:rPr>
          <w:rFonts w:ascii="Arial" w:hAnsi="Arial" w:cs="Arial"/>
          <w:i/>
          <w:color w:val="2E74B5" w:themeColor="accent1" w:themeShade="BF"/>
          <w:sz w:val="20"/>
          <w:szCs w:val="20"/>
        </w:rPr>
        <w:tab/>
        <w:t>Hermano</w:t>
      </w:r>
      <w:r w:rsidR="00123E81" w:rsidRPr="00E020E8">
        <w:rPr>
          <w:rFonts w:ascii="Arial" w:hAnsi="Arial" w:cs="Arial"/>
          <w:i/>
          <w:color w:val="2E74B5" w:themeColor="accent1" w:themeShade="BF"/>
          <w:sz w:val="20"/>
          <w:szCs w:val="20"/>
        </w:rPr>
        <w:t>,</w:t>
      </w:r>
    </w:p>
    <w:p w:rsidR="000418BE" w:rsidRPr="00E020E8" w:rsidRDefault="00123E81" w:rsidP="00E020E8">
      <w:pPr>
        <w:spacing w:after="0"/>
        <w:ind w:firstLine="207"/>
        <w:jc w:val="both"/>
        <w:rPr>
          <w:rFonts w:ascii="Arial" w:hAnsi="Arial" w:cs="Arial"/>
          <w:i/>
          <w:color w:val="2E74B5" w:themeColor="accent1" w:themeShade="BF"/>
          <w:sz w:val="20"/>
          <w:szCs w:val="20"/>
        </w:rPr>
      </w:pPr>
      <w:r w:rsidRPr="00E020E8">
        <w:rPr>
          <w:rFonts w:ascii="Arial" w:hAnsi="Arial" w:cs="Arial"/>
          <w:i/>
          <w:color w:val="2E74B5" w:themeColor="accent1" w:themeShade="BF"/>
          <w:sz w:val="20"/>
          <w:szCs w:val="20"/>
        </w:rPr>
        <w:t xml:space="preserve"> </w:t>
      </w:r>
      <w:r w:rsidR="000418BE" w:rsidRPr="00E020E8">
        <w:rPr>
          <w:rFonts w:ascii="Arial" w:hAnsi="Arial" w:cs="Arial"/>
          <w:i/>
          <w:color w:val="2E74B5" w:themeColor="accent1" w:themeShade="BF"/>
          <w:sz w:val="20"/>
          <w:szCs w:val="20"/>
        </w:rPr>
        <w:t>-Dependencia de Adscripción del trabajador</w:t>
      </w:r>
    </w:p>
    <w:p w:rsidR="00123E81" w:rsidRPr="00E020E8" w:rsidRDefault="000418BE" w:rsidP="00E020E8">
      <w:pPr>
        <w:spacing w:after="0"/>
        <w:ind w:firstLine="207"/>
        <w:jc w:val="both"/>
        <w:rPr>
          <w:rFonts w:ascii="Arial" w:hAnsi="Arial" w:cs="Arial"/>
          <w:i/>
          <w:color w:val="2E74B5" w:themeColor="accent1" w:themeShade="BF"/>
          <w:sz w:val="20"/>
          <w:szCs w:val="20"/>
        </w:rPr>
      </w:pPr>
      <w:r w:rsidRPr="00E020E8">
        <w:rPr>
          <w:rFonts w:ascii="Arial" w:hAnsi="Arial" w:cs="Arial"/>
          <w:i/>
          <w:color w:val="2E74B5" w:themeColor="accent1" w:themeShade="BF"/>
          <w:sz w:val="20"/>
          <w:szCs w:val="20"/>
        </w:rPr>
        <w:t>-Monto que cubre el servicio médico anual al trabajador</w:t>
      </w:r>
      <w:r w:rsidR="007A6882" w:rsidRPr="00E020E8">
        <w:rPr>
          <w:rFonts w:ascii="Arial" w:hAnsi="Arial" w:cs="Arial"/>
          <w:i/>
          <w:color w:val="2E74B5" w:themeColor="accent1" w:themeShade="BF"/>
          <w:sz w:val="20"/>
          <w:szCs w:val="20"/>
        </w:rPr>
        <w:t>.</w:t>
      </w:r>
    </w:p>
    <w:p w:rsidR="00123E81" w:rsidRPr="00E020E8" w:rsidRDefault="007A6882" w:rsidP="00E020E8">
      <w:pPr>
        <w:spacing w:after="0"/>
        <w:ind w:firstLine="207"/>
        <w:jc w:val="both"/>
        <w:rPr>
          <w:rFonts w:ascii="Arial" w:hAnsi="Arial" w:cs="Arial"/>
          <w:i/>
          <w:color w:val="2E74B5" w:themeColor="accent1" w:themeShade="BF"/>
          <w:sz w:val="20"/>
          <w:szCs w:val="20"/>
        </w:rPr>
      </w:pPr>
      <w:r w:rsidRPr="00E020E8">
        <w:rPr>
          <w:rFonts w:ascii="Arial" w:hAnsi="Arial" w:cs="Arial"/>
          <w:i/>
          <w:color w:val="2E74B5" w:themeColor="accent1" w:themeShade="BF"/>
          <w:sz w:val="20"/>
          <w:szCs w:val="20"/>
        </w:rPr>
        <w:t xml:space="preserve"> </w:t>
      </w:r>
      <w:r w:rsidR="000418BE" w:rsidRPr="00E020E8">
        <w:rPr>
          <w:rFonts w:ascii="Arial" w:hAnsi="Arial" w:cs="Arial"/>
          <w:i/>
          <w:color w:val="2E74B5" w:themeColor="accent1" w:themeShade="BF"/>
          <w:sz w:val="20"/>
          <w:szCs w:val="20"/>
        </w:rPr>
        <w:t xml:space="preserve">5.- </w:t>
      </w:r>
      <w:proofErr w:type="gramStart"/>
      <w:r w:rsidR="000418BE" w:rsidRPr="00E020E8">
        <w:rPr>
          <w:rFonts w:ascii="Arial" w:hAnsi="Arial" w:cs="Arial"/>
          <w:i/>
          <w:color w:val="2E74B5" w:themeColor="accent1" w:themeShade="BF"/>
          <w:sz w:val="20"/>
          <w:szCs w:val="20"/>
        </w:rPr>
        <w:t>Monto anual que se pagó por el servicio médico que brinda gobierno del estado a sus trabajadores de los años 2016, 2017 y el estimado a pagar para el periodo 2018?</w:t>
      </w:r>
      <w:proofErr w:type="gramEnd"/>
    </w:p>
    <w:p w:rsidR="000418BE" w:rsidRPr="00E020E8" w:rsidRDefault="00123E81" w:rsidP="00E020E8">
      <w:pPr>
        <w:spacing w:after="0"/>
        <w:ind w:firstLine="207"/>
        <w:jc w:val="both"/>
        <w:rPr>
          <w:rFonts w:ascii="Arial" w:hAnsi="Arial" w:cs="Arial"/>
          <w:i/>
          <w:color w:val="2E74B5" w:themeColor="accent1" w:themeShade="BF"/>
          <w:sz w:val="20"/>
          <w:szCs w:val="20"/>
        </w:rPr>
      </w:pPr>
      <w:r w:rsidRPr="00E020E8">
        <w:rPr>
          <w:rFonts w:ascii="Arial" w:hAnsi="Arial" w:cs="Arial"/>
          <w:i/>
          <w:color w:val="2E74B5" w:themeColor="accent1" w:themeShade="BF"/>
          <w:sz w:val="20"/>
          <w:szCs w:val="20"/>
        </w:rPr>
        <w:t xml:space="preserve"> </w:t>
      </w:r>
      <w:r w:rsidR="000418BE" w:rsidRPr="00E020E8">
        <w:rPr>
          <w:rFonts w:ascii="Arial" w:hAnsi="Arial" w:cs="Arial"/>
          <w:i/>
          <w:color w:val="2E74B5" w:themeColor="accent1" w:themeShade="BF"/>
          <w:sz w:val="20"/>
          <w:szCs w:val="20"/>
        </w:rPr>
        <w:t xml:space="preserve">6.- </w:t>
      </w:r>
      <w:proofErr w:type="gramStart"/>
      <w:r w:rsidR="000418BE" w:rsidRPr="00E020E8">
        <w:rPr>
          <w:rFonts w:ascii="Arial" w:hAnsi="Arial" w:cs="Arial"/>
          <w:i/>
          <w:color w:val="2E74B5" w:themeColor="accent1" w:themeShade="BF"/>
          <w:sz w:val="20"/>
          <w:szCs w:val="20"/>
        </w:rPr>
        <w:t>Funcionario facultado para dar altas a los derechohabientes t</w:t>
      </w:r>
      <w:r w:rsidRPr="00E020E8">
        <w:rPr>
          <w:rFonts w:ascii="Arial" w:hAnsi="Arial" w:cs="Arial"/>
          <w:i/>
          <w:color w:val="2E74B5" w:themeColor="accent1" w:themeShade="BF"/>
          <w:sz w:val="20"/>
          <w:szCs w:val="20"/>
        </w:rPr>
        <w:t>rabajadores, y en su</w:t>
      </w:r>
      <w:r w:rsidR="000418BE" w:rsidRPr="00E020E8">
        <w:rPr>
          <w:rFonts w:ascii="Arial" w:hAnsi="Arial" w:cs="Arial"/>
          <w:i/>
          <w:color w:val="2E74B5" w:themeColor="accent1" w:themeShade="BF"/>
          <w:sz w:val="20"/>
          <w:szCs w:val="20"/>
        </w:rPr>
        <w:t xml:space="preserve"> caso a personas con parentesco que no tienen el derecho al servicio médico?</w:t>
      </w:r>
      <w:proofErr w:type="gramEnd"/>
      <w:r w:rsidR="000418BE" w:rsidRPr="00E020E8">
        <w:rPr>
          <w:rFonts w:ascii="Arial" w:hAnsi="Arial" w:cs="Arial"/>
          <w:i/>
          <w:color w:val="2E74B5" w:themeColor="accent1" w:themeShade="BF"/>
          <w:sz w:val="20"/>
          <w:szCs w:val="20"/>
        </w:rPr>
        <w:t xml:space="preserve"> …”    </w:t>
      </w:r>
    </w:p>
    <w:p w:rsidR="000418BE" w:rsidRPr="00E020E8" w:rsidRDefault="000418BE" w:rsidP="00E020E8">
      <w:pPr>
        <w:spacing w:after="0"/>
        <w:ind w:firstLine="709"/>
        <w:jc w:val="both"/>
        <w:rPr>
          <w:rFonts w:ascii="Arial" w:hAnsi="Arial" w:cs="Arial"/>
          <w:b/>
          <w:color w:val="2E74B5" w:themeColor="accent1" w:themeShade="BF"/>
          <w:sz w:val="24"/>
          <w:szCs w:val="24"/>
        </w:rPr>
      </w:pPr>
    </w:p>
    <w:p w:rsidR="000418BE" w:rsidRPr="00E020E8" w:rsidRDefault="000418BE" w:rsidP="00E020E8">
      <w:pPr>
        <w:pStyle w:val="corte4fondo"/>
        <w:spacing w:line="276" w:lineRule="auto"/>
        <w:ind w:left="720" w:firstLine="0"/>
        <w:rPr>
          <w:rFonts w:cs="Arial"/>
          <w:color w:val="2E74B5" w:themeColor="accent1" w:themeShade="BF"/>
          <w:sz w:val="24"/>
          <w:szCs w:val="24"/>
        </w:rPr>
      </w:pPr>
      <w:r w:rsidRPr="00E020E8">
        <w:rPr>
          <w:rFonts w:cs="Arial"/>
          <w:color w:val="2E74B5" w:themeColor="accent1" w:themeShade="BF"/>
          <w:sz w:val="24"/>
          <w:szCs w:val="24"/>
          <w:u w:val="single"/>
        </w:rPr>
        <w:t>Lo anterior en la modalidad solicitada.</w:t>
      </w:r>
    </w:p>
    <w:p w:rsidR="006E30D6" w:rsidRPr="00E020E8" w:rsidRDefault="006E30D6" w:rsidP="00E020E8">
      <w:pPr>
        <w:pStyle w:val="Default"/>
        <w:spacing w:line="276" w:lineRule="auto"/>
        <w:jc w:val="both"/>
        <w:rPr>
          <w:bCs/>
          <w:color w:val="2E74B5" w:themeColor="accent1" w:themeShade="BF"/>
          <w:sz w:val="20"/>
          <w:szCs w:val="20"/>
        </w:rPr>
      </w:pPr>
    </w:p>
    <w:p w:rsidR="006E30D6" w:rsidRPr="00E020E8" w:rsidRDefault="006E30D6" w:rsidP="00E020E8">
      <w:pPr>
        <w:pStyle w:val="corte4fondo"/>
        <w:tabs>
          <w:tab w:val="left" w:pos="567"/>
        </w:tabs>
        <w:spacing w:line="276" w:lineRule="auto"/>
        <w:ind w:firstLine="0"/>
        <w:rPr>
          <w:rFonts w:cs="Arial"/>
          <w:b/>
          <w:color w:val="2E74B5" w:themeColor="accent1" w:themeShade="BF"/>
          <w:sz w:val="24"/>
          <w:szCs w:val="24"/>
        </w:rPr>
      </w:pPr>
      <w:r w:rsidRPr="00E020E8">
        <w:rPr>
          <w:rFonts w:cs="Arial"/>
          <w:b/>
          <w:color w:val="2E74B5" w:themeColor="accent1" w:themeShade="BF"/>
          <w:sz w:val="25"/>
          <w:szCs w:val="25"/>
        </w:rPr>
        <w:tab/>
      </w:r>
      <w:r w:rsidRPr="00E020E8">
        <w:rPr>
          <w:rFonts w:cs="Arial"/>
          <w:b/>
          <w:color w:val="2E74B5" w:themeColor="accent1" w:themeShade="BF"/>
          <w:sz w:val="24"/>
          <w:szCs w:val="24"/>
        </w:rPr>
        <w:t>7.</w:t>
      </w:r>
      <w:r w:rsidR="008A04A4">
        <w:rPr>
          <w:rFonts w:cs="Arial"/>
          <w:b/>
          <w:color w:val="2E74B5" w:themeColor="accent1" w:themeShade="BF"/>
          <w:sz w:val="24"/>
          <w:szCs w:val="24"/>
        </w:rPr>
        <w:t>5</w:t>
      </w:r>
      <w:r w:rsidRPr="00E020E8">
        <w:rPr>
          <w:rFonts w:cs="Arial"/>
          <w:b/>
          <w:color w:val="2E74B5" w:themeColor="accent1" w:themeShade="BF"/>
          <w:sz w:val="24"/>
          <w:szCs w:val="24"/>
        </w:rPr>
        <w:t>. Precisiones de esta resolución.</w:t>
      </w:r>
    </w:p>
    <w:p w:rsidR="006E30D6" w:rsidRPr="00E020E8" w:rsidRDefault="006E30D6" w:rsidP="00E020E8">
      <w:pPr>
        <w:pStyle w:val="corte4fondo"/>
        <w:tabs>
          <w:tab w:val="left" w:pos="567"/>
        </w:tabs>
        <w:spacing w:line="276" w:lineRule="auto"/>
        <w:ind w:firstLine="0"/>
        <w:rPr>
          <w:rFonts w:cs="Arial"/>
          <w:b/>
          <w:color w:val="2E74B5" w:themeColor="accent1" w:themeShade="BF"/>
          <w:sz w:val="24"/>
          <w:szCs w:val="24"/>
        </w:rPr>
      </w:pPr>
      <w:r w:rsidRPr="00E020E8">
        <w:rPr>
          <w:rFonts w:cs="Arial"/>
          <w:b/>
          <w:color w:val="2E74B5" w:themeColor="accent1" w:themeShade="BF"/>
          <w:sz w:val="24"/>
          <w:szCs w:val="24"/>
        </w:rPr>
        <w:tab/>
      </w:r>
    </w:p>
    <w:p w:rsidR="006E30D6" w:rsidRPr="00E020E8" w:rsidRDefault="006E30D6" w:rsidP="00E020E8">
      <w:pPr>
        <w:pStyle w:val="corte4fondo"/>
        <w:tabs>
          <w:tab w:val="left" w:pos="567"/>
        </w:tabs>
        <w:spacing w:line="276" w:lineRule="auto"/>
        <w:ind w:firstLine="0"/>
        <w:rPr>
          <w:rFonts w:cs="Arial"/>
          <w:color w:val="2E74B5" w:themeColor="accent1" w:themeShade="BF"/>
          <w:sz w:val="24"/>
          <w:szCs w:val="24"/>
        </w:rPr>
      </w:pPr>
      <w:r w:rsidRPr="00E020E8">
        <w:rPr>
          <w:rFonts w:cs="Arial"/>
          <w:b/>
          <w:color w:val="2E74B5" w:themeColor="accent1" w:themeShade="BF"/>
          <w:sz w:val="24"/>
          <w:szCs w:val="24"/>
        </w:rPr>
        <w:lastRenderedPageBreak/>
        <w:tab/>
      </w:r>
      <w:r w:rsidRPr="00E020E8">
        <w:rPr>
          <w:rFonts w:cs="Arial"/>
          <w:color w:val="2E74B5" w:themeColor="accent1" w:themeShade="BF"/>
          <w:sz w:val="24"/>
          <w:szCs w:val="24"/>
        </w:rPr>
        <w:t>De conformidad con la última parte del artículo 176 de la Ley de Transparencia está Comisión de Transparencia establece los siguientes términos para el cumplimiento de la resolución.</w:t>
      </w:r>
    </w:p>
    <w:p w:rsidR="006E30D6" w:rsidRPr="00E020E8" w:rsidRDefault="006E30D6" w:rsidP="00E020E8">
      <w:pPr>
        <w:pStyle w:val="corte4fondo"/>
        <w:tabs>
          <w:tab w:val="left" w:pos="567"/>
        </w:tabs>
        <w:spacing w:line="276" w:lineRule="auto"/>
        <w:ind w:firstLine="0"/>
        <w:rPr>
          <w:rFonts w:cs="Arial"/>
          <w:color w:val="2E74B5" w:themeColor="accent1" w:themeShade="BF"/>
          <w:sz w:val="24"/>
          <w:szCs w:val="24"/>
        </w:rPr>
      </w:pPr>
    </w:p>
    <w:p w:rsidR="007A6882" w:rsidRPr="00E020E8" w:rsidRDefault="006E30D6" w:rsidP="00E020E8">
      <w:pPr>
        <w:pStyle w:val="corte4fondo"/>
        <w:numPr>
          <w:ilvl w:val="0"/>
          <w:numId w:val="5"/>
        </w:numPr>
        <w:tabs>
          <w:tab w:val="left" w:pos="567"/>
        </w:tabs>
        <w:spacing w:line="276" w:lineRule="auto"/>
        <w:rPr>
          <w:rFonts w:cs="Arial"/>
          <w:color w:val="2E74B5" w:themeColor="accent1" w:themeShade="BF"/>
          <w:sz w:val="24"/>
          <w:szCs w:val="24"/>
        </w:rPr>
      </w:pPr>
      <w:r w:rsidRPr="00E020E8">
        <w:rPr>
          <w:rFonts w:cs="Arial"/>
          <w:color w:val="2E74B5" w:themeColor="accent1" w:themeShade="BF"/>
          <w:sz w:val="24"/>
          <w:szCs w:val="24"/>
        </w:rPr>
        <w:tab/>
      </w:r>
      <w:r w:rsidR="007A6882" w:rsidRPr="00E020E8">
        <w:rPr>
          <w:rFonts w:cs="Arial"/>
          <w:color w:val="2E74B5" w:themeColor="accent1" w:themeShade="BF"/>
          <w:sz w:val="24"/>
          <w:szCs w:val="24"/>
        </w:rPr>
        <w:t>En cuanto a lo ordenado, se reitera que la información debe de entregarse en la modalidad solicitada en la inteligencia de que en virtud de que la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la particular para oír y recibir notificaciones.</w:t>
      </w:r>
    </w:p>
    <w:p w:rsidR="006E30D6" w:rsidRPr="00E020E8" w:rsidRDefault="006E30D6" w:rsidP="00E020E8">
      <w:pPr>
        <w:pStyle w:val="corte4fondo"/>
        <w:tabs>
          <w:tab w:val="left" w:pos="567"/>
        </w:tabs>
        <w:spacing w:line="276" w:lineRule="auto"/>
        <w:ind w:left="720" w:firstLine="0"/>
        <w:rPr>
          <w:rFonts w:cs="Arial"/>
          <w:color w:val="2E74B5" w:themeColor="accent1" w:themeShade="BF"/>
          <w:sz w:val="24"/>
          <w:szCs w:val="24"/>
        </w:rPr>
      </w:pPr>
    </w:p>
    <w:p w:rsidR="006E30D6" w:rsidRPr="00E020E8" w:rsidRDefault="006E30D6" w:rsidP="00E020E8">
      <w:pPr>
        <w:pStyle w:val="corte4fondo"/>
        <w:numPr>
          <w:ilvl w:val="0"/>
          <w:numId w:val="5"/>
        </w:numPr>
        <w:tabs>
          <w:tab w:val="left" w:pos="567"/>
        </w:tabs>
        <w:spacing w:line="276" w:lineRule="auto"/>
        <w:rPr>
          <w:rFonts w:cs="Arial"/>
          <w:color w:val="2E74B5" w:themeColor="accent1" w:themeShade="BF"/>
          <w:sz w:val="24"/>
          <w:szCs w:val="24"/>
        </w:rPr>
      </w:pPr>
      <w:r w:rsidRPr="00E020E8">
        <w:rPr>
          <w:rFonts w:cs="Arial"/>
          <w:color w:val="2E74B5" w:themeColor="accent1" w:themeShade="BF"/>
          <w:sz w:val="24"/>
          <w:szCs w:val="24"/>
        </w:rPr>
        <w:t xml:space="preserve">El sujeto obligado deberá cuidar en todo momento que la información que entregará no contenga datos personales o confidenciales, pues en caso de contener información con esos datos, deberá elaborar la versión pública. </w:t>
      </w:r>
    </w:p>
    <w:p w:rsidR="006E30D6" w:rsidRPr="00E020E8" w:rsidRDefault="006E30D6" w:rsidP="00E020E8">
      <w:pPr>
        <w:pStyle w:val="corte4fondo"/>
        <w:tabs>
          <w:tab w:val="left" w:pos="567"/>
        </w:tabs>
        <w:spacing w:line="276" w:lineRule="auto"/>
        <w:ind w:left="720" w:firstLine="0"/>
        <w:rPr>
          <w:rFonts w:cs="Arial"/>
          <w:color w:val="2E74B5" w:themeColor="accent1" w:themeShade="BF"/>
          <w:sz w:val="24"/>
          <w:szCs w:val="24"/>
        </w:rPr>
      </w:pPr>
    </w:p>
    <w:p w:rsidR="006E30D6" w:rsidRPr="00E020E8" w:rsidRDefault="009A21BA" w:rsidP="00E020E8">
      <w:pPr>
        <w:spacing w:after="0"/>
        <w:ind w:firstLine="708"/>
        <w:jc w:val="both"/>
        <w:rPr>
          <w:rFonts w:ascii="Arial" w:eastAsia="Times New Roman" w:hAnsi="Arial" w:cs="Arial"/>
          <w:b/>
          <w:color w:val="2E74B5" w:themeColor="accent1" w:themeShade="BF"/>
          <w:sz w:val="24"/>
          <w:szCs w:val="24"/>
          <w:lang w:eastAsia="es-MX"/>
        </w:rPr>
      </w:pPr>
      <w:r w:rsidRPr="00E020E8">
        <w:rPr>
          <w:rFonts w:ascii="Arial" w:eastAsia="Times New Roman" w:hAnsi="Arial" w:cs="Arial"/>
          <w:b/>
          <w:color w:val="2E74B5" w:themeColor="accent1" w:themeShade="BF"/>
          <w:sz w:val="24"/>
          <w:szCs w:val="24"/>
          <w:lang w:eastAsia="es-MX"/>
        </w:rPr>
        <w:t>7.</w:t>
      </w:r>
      <w:r w:rsidR="008A04A4">
        <w:rPr>
          <w:rFonts w:ascii="Arial" w:eastAsia="Times New Roman" w:hAnsi="Arial" w:cs="Arial"/>
          <w:b/>
          <w:color w:val="2E74B5" w:themeColor="accent1" w:themeShade="BF"/>
          <w:sz w:val="24"/>
          <w:szCs w:val="24"/>
          <w:lang w:eastAsia="es-MX"/>
        </w:rPr>
        <w:t>6</w:t>
      </w:r>
      <w:r w:rsidR="006E30D6" w:rsidRPr="00E020E8">
        <w:rPr>
          <w:rFonts w:ascii="Arial" w:eastAsia="Times New Roman" w:hAnsi="Arial" w:cs="Arial"/>
          <w:b/>
          <w:color w:val="2E74B5" w:themeColor="accent1" w:themeShade="BF"/>
          <w:sz w:val="24"/>
          <w:szCs w:val="24"/>
          <w:lang w:eastAsia="es-MX"/>
        </w:rPr>
        <w:t xml:space="preserve"> Plazo de diez días hábiles para el cumplimento de esta resolución.</w:t>
      </w:r>
    </w:p>
    <w:p w:rsidR="006E30D6" w:rsidRPr="00E020E8" w:rsidRDefault="006E30D6" w:rsidP="00E020E8">
      <w:pPr>
        <w:spacing w:after="0"/>
        <w:jc w:val="both"/>
        <w:rPr>
          <w:rFonts w:ascii="Arial" w:eastAsia="Times New Roman" w:hAnsi="Arial" w:cs="Arial"/>
          <w:b/>
          <w:color w:val="2E74B5" w:themeColor="accent1" w:themeShade="BF"/>
          <w:sz w:val="24"/>
          <w:szCs w:val="24"/>
          <w:lang w:eastAsia="es-MX"/>
        </w:rPr>
      </w:pPr>
    </w:p>
    <w:p w:rsidR="006E30D6" w:rsidRPr="00E020E8" w:rsidRDefault="006E30D6" w:rsidP="00E020E8">
      <w:pPr>
        <w:spacing w:after="0"/>
        <w:ind w:firstLine="360"/>
        <w:jc w:val="both"/>
        <w:rPr>
          <w:rFonts w:ascii="Arial" w:eastAsia="Times New Roman" w:hAnsi="Arial" w:cs="Arial"/>
          <w:color w:val="2E74B5" w:themeColor="accent1" w:themeShade="BF"/>
          <w:sz w:val="24"/>
          <w:szCs w:val="24"/>
          <w:lang w:eastAsia="es-MX"/>
        </w:rPr>
      </w:pPr>
      <w:r w:rsidRPr="00E020E8">
        <w:rPr>
          <w:rFonts w:ascii="Arial" w:eastAsia="Times New Roman" w:hAnsi="Arial" w:cs="Arial"/>
          <w:color w:val="2E74B5" w:themeColor="accent1" w:themeShade="BF"/>
          <w:sz w:val="24"/>
          <w:szCs w:val="24"/>
          <w:lang w:eastAsia="es-MX"/>
        </w:rPr>
        <w:t>Con fundamento en el artículo 175 de la Ley de Transparencia y Acceso a la Información Pública del Estado, este órgano colegiado le concede al sujeto obligado el plazo de diez días para la entrega de la información, plazo que es el que está Comisión de Transparencia considera que es suficiente, ya que es el máximo autorizado por el citado precepto.</w:t>
      </w:r>
    </w:p>
    <w:p w:rsidR="006E30D6" w:rsidRPr="00E020E8" w:rsidRDefault="006E30D6" w:rsidP="00E020E8">
      <w:pPr>
        <w:spacing w:after="0"/>
        <w:ind w:firstLine="360"/>
        <w:jc w:val="both"/>
        <w:rPr>
          <w:rFonts w:ascii="Arial" w:eastAsia="Times New Roman" w:hAnsi="Arial" w:cs="Arial"/>
          <w:color w:val="2E74B5" w:themeColor="accent1" w:themeShade="BF"/>
          <w:sz w:val="24"/>
          <w:szCs w:val="24"/>
          <w:lang w:eastAsia="es-MX"/>
        </w:rPr>
      </w:pPr>
    </w:p>
    <w:p w:rsidR="006E30D6" w:rsidRPr="00E020E8" w:rsidRDefault="008A04A4" w:rsidP="00E020E8">
      <w:pPr>
        <w:spacing w:after="0"/>
        <w:ind w:firstLine="708"/>
        <w:jc w:val="both"/>
        <w:rPr>
          <w:rFonts w:ascii="Arial" w:eastAsia="Times New Roman" w:hAnsi="Arial" w:cs="Arial"/>
          <w:b/>
          <w:color w:val="2E74B5" w:themeColor="accent1" w:themeShade="BF"/>
          <w:sz w:val="24"/>
          <w:szCs w:val="24"/>
          <w:lang w:eastAsia="es-MX"/>
        </w:rPr>
      </w:pPr>
      <w:r>
        <w:rPr>
          <w:rFonts w:ascii="Arial" w:eastAsia="Times New Roman" w:hAnsi="Arial" w:cs="Arial"/>
          <w:b/>
          <w:color w:val="2E74B5" w:themeColor="accent1" w:themeShade="BF"/>
          <w:sz w:val="24"/>
          <w:szCs w:val="24"/>
          <w:lang w:eastAsia="es-MX"/>
        </w:rPr>
        <w:t>7.7</w:t>
      </w:r>
      <w:r w:rsidR="006E30D6" w:rsidRPr="00E020E8">
        <w:rPr>
          <w:rFonts w:ascii="Arial" w:eastAsia="Times New Roman" w:hAnsi="Arial" w:cs="Arial"/>
          <w:b/>
          <w:color w:val="2E74B5" w:themeColor="accent1" w:themeShade="BF"/>
          <w:sz w:val="24"/>
          <w:szCs w:val="24"/>
          <w:lang w:eastAsia="es-MX"/>
        </w:rPr>
        <w:t>. Informe sobre el cumplimento a la resolución dentro del plazo de tres días hábiles.</w:t>
      </w:r>
    </w:p>
    <w:p w:rsidR="006E30D6" w:rsidRPr="00E020E8" w:rsidRDefault="006E30D6" w:rsidP="00E020E8">
      <w:pPr>
        <w:spacing w:after="0"/>
        <w:jc w:val="both"/>
        <w:rPr>
          <w:rFonts w:ascii="Arial" w:eastAsia="Times New Roman" w:hAnsi="Arial" w:cs="Arial"/>
          <w:b/>
          <w:color w:val="2E74B5" w:themeColor="accent1" w:themeShade="BF"/>
          <w:sz w:val="24"/>
          <w:szCs w:val="24"/>
          <w:lang w:eastAsia="es-MX"/>
        </w:rPr>
      </w:pPr>
    </w:p>
    <w:p w:rsidR="006E30D6" w:rsidRPr="00E020E8" w:rsidRDefault="006E30D6" w:rsidP="00E020E8">
      <w:pPr>
        <w:spacing w:after="0"/>
        <w:ind w:firstLine="708"/>
        <w:jc w:val="both"/>
        <w:rPr>
          <w:rFonts w:ascii="Arial" w:eastAsia="Times New Roman" w:hAnsi="Arial" w:cs="Arial"/>
          <w:color w:val="2E74B5" w:themeColor="accent1" w:themeShade="BF"/>
          <w:sz w:val="24"/>
          <w:szCs w:val="24"/>
          <w:lang w:eastAsia="es-MX"/>
        </w:rPr>
      </w:pPr>
      <w:r w:rsidRPr="00E020E8">
        <w:rPr>
          <w:rFonts w:ascii="Arial" w:eastAsia="Times New Roman" w:hAnsi="Arial" w:cs="Arial"/>
          <w:color w:val="2E74B5" w:themeColor="accent1" w:themeShade="BF"/>
          <w:sz w:val="24"/>
          <w:szCs w:val="24"/>
          <w:lang w:eastAsia="es-MX"/>
        </w:rPr>
        <w:t>De conformidad con el artículo 177, segundo párrafo, el sujeto obligado deberá de informar a esta Comisión de Transparencia el cumplimento a la presente resolución en un plazo que no deberá de exceder de tres días siguientes a los diez días que tiene para la entrega de la información en donde justificará con los documentos necesarios el cumplimento a lo aquí ordenado.</w:t>
      </w:r>
    </w:p>
    <w:p w:rsidR="006E30D6" w:rsidRPr="00E020E8" w:rsidRDefault="006E30D6" w:rsidP="00E020E8">
      <w:pPr>
        <w:spacing w:after="0"/>
        <w:ind w:firstLine="708"/>
        <w:jc w:val="both"/>
        <w:rPr>
          <w:rFonts w:ascii="Arial" w:eastAsia="Times New Roman" w:hAnsi="Arial" w:cs="Arial"/>
          <w:color w:val="2E74B5" w:themeColor="accent1" w:themeShade="BF"/>
          <w:sz w:val="24"/>
          <w:szCs w:val="24"/>
          <w:lang w:eastAsia="es-MX"/>
        </w:rPr>
      </w:pPr>
    </w:p>
    <w:p w:rsidR="006E30D6" w:rsidRPr="00E020E8" w:rsidRDefault="006E30D6" w:rsidP="00E020E8">
      <w:pPr>
        <w:spacing w:after="0"/>
        <w:jc w:val="both"/>
        <w:rPr>
          <w:rFonts w:ascii="Arial" w:eastAsia="Times New Roman" w:hAnsi="Arial" w:cs="Arial"/>
          <w:b/>
          <w:color w:val="2E74B5" w:themeColor="accent1" w:themeShade="BF"/>
          <w:sz w:val="24"/>
          <w:szCs w:val="24"/>
          <w:lang w:eastAsia="es-MX"/>
        </w:rPr>
      </w:pPr>
      <w:r w:rsidRPr="00E020E8">
        <w:rPr>
          <w:rFonts w:ascii="Arial" w:eastAsia="Times New Roman" w:hAnsi="Arial" w:cs="Arial"/>
          <w:b/>
          <w:color w:val="2E74B5" w:themeColor="accent1" w:themeShade="BF"/>
          <w:sz w:val="24"/>
          <w:szCs w:val="24"/>
          <w:lang w:eastAsia="es-MX"/>
        </w:rPr>
        <w:t xml:space="preserve">       </w:t>
      </w:r>
      <w:r w:rsidR="008A04A4">
        <w:rPr>
          <w:rFonts w:ascii="Arial" w:eastAsia="Times New Roman" w:hAnsi="Arial" w:cs="Arial"/>
          <w:b/>
          <w:color w:val="2E74B5" w:themeColor="accent1" w:themeShade="BF"/>
          <w:sz w:val="24"/>
          <w:szCs w:val="24"/>
          <w:lang w:eastAsia="es-MX"/>
        </w:rPr>
        <w:t>7.8</w:t>
      </w:r>
      <w:r w:rsidRPr="00E020E8">
        <w:rPr>
          <w:rFonts w:ascii="Arial" w:eastAsia="Times New Roman" w:hAnsi="Arial" w:cs="Arial"/>
          <w:b/>
          <w:color w:val="2E74B5" w:themeColor="accent1" w:themeShade="BF"/>
          <w:sz w:val="24"/>
          <w:szCs w:val="24"/>
          <w:lang w:eastAsia="es-MX"/>
        </w:rPr>
        <w:t>. Medida de apremio en caso de incumplimiento a la resolución.</w:t>
      </w:r>
    </w:p>
    <w:p w:rsidR="006E30D6" w:rsidRPr="00E020E8" w:rsidRDefault="006E30D6" w:rsidP="00E020E8">
      <w:pPr>
        <w:spacing w:after="0"/>
        <w:jc w:val="both"/>
        <w:rPr>
          <w:rFonts w:ascii="Arial" w:eastAsia="Times New Roman" w:hAnsi="Arial" w:cs="Arial"/>
          <w:b/>
          <w:color w:val="2E74B5" w:themeColor="accent1" w:themeShade="BF"/>
          <w:sz w:val="24"/>
          <w:szCs w:val="24"/>
          <w:lang w:eastAsia="es-MX"/>
        </w:rPr>
      </w:pPr>
    </w:p>
    <w:p w:rsidR="006E30D6" w:rsidRPr="00E020E8" w:rsidRDefault="006E30D6" w:rsidP="00E020E8">
      <w:pPr>
        <w:pStyle w:val="corte4fondo"/>
        <w:tabs>
          <w:tab w:val="left" w:pos="567"/>
        </w:tabs>
        <w:spacing w:line="276" w:lineRule="auto"/>
        <w:rPr>
          <w:rFonts w:cs="Arial"/>
          <w:color w:val="2E74B5" w:themeColor="accent1" w:themeShade="BF"/>
          <w:sz w:val="24"/>
          <w:szCs w:val="24"/>
        </w:rPr>
      </w:pPr>
      <w:r w:rsidRPr="00E020E8">
        <w:rPr>
          <w:rFonts w:cs="Arial"/>
          <w:color w:val="2E74B5" w:themeColor="accent1" w:themeShade="BF"/>
          <w:sz w:val="24"/>
          <w:szCs w:val="24"/>
        </w:rPr>
        <w:t xml:space="preserve">Esta Comisión Estatal de Garantía de Acceso a la Información Pública apercibe al ente obligado que, en caso de no acatar la presente resolución, podrá ser acreedor de alguna de las medidas de apremio establecidas en el artículo 190 de la Ley de Transparencia, en virtud de que este órgano colegiado debe de garantizar el debido cumplimiento al derecho humano de acceso a la información pública.  </w:t>
      </w:r>
    </w:p>
    <w:p w:rsidR="006E30D6" w:rsidRPr="00E020E8" w:rsidRDefault="006E30D6" w:rsidP="00E020E8">
      <w:pPr>
        <w:pStyle w:val="corte4fondo"/>
        <w:tabs>
          <w:tab w:val="left" w:pos="567"/>
        </w:tabs>
        <w:spacing w:line="276" w:lineRule="auto"/>
        <w:rPr>
          <w:rFonts w:cs="Arial"/>
          <w:color w:val="2E74B5" w:themeColor="accent1" w:themeShade="BF"/>
          <w:sz w:val="24"/>
          <w:szCs w:val="24"/>
        </w:rPr>
      </w:pPr>
    </w:p>
    <w:p w:rsidR="006E30D6" w:rsidRPr="00E020E8" w:rsidRDefault="006E30D6" w:rsidP="00E020E8">
      <w:pPr>
        <w:pStyle w:val="corte4fondo"/>
        <w:tabs>
          <w:tab w:val="left" w:pos="567"/>
        </w:tabs>
        <w:spacing w:line="276" w:lineRule="auto"/>
        <w:jc w:val="center"/>
        <w:rPr>
          <w:rFonts w:cs="Arial"/>
          <w:color w:val="2E74B5" w:themeColor="accent1" w:themeShade="BF"/>
          <w:sz w:val="24"/>
          <w:szCs w:val="24"/>
        </w:rPr>
      </w:pPr>
      <w:r w:rsidRPr="00E020E8">
        <w:rPr>
          <w:rFonts w:cs="Arial"/>
          <w:b/>
          <w:color w:val="2E74B5" w:themeColor="accent1" w:themeShade="BF"/>
          <w:sz w:val="24"/>
          <w:szCs w:val="24"/>
        </w:rPr>
        <w:t>RESOLUTIVO</w:t>
      </w:r>
    </w:p>
    <w:p w:rsidR="006E30D6" w:rsidRPr="00E020E8" w:rsidRDefault="006E30D6" w:rsidP="00E020E8">
      <w:pPr>
        <w:pStyle w:val="corte4fondo"/>
        <w:tabs>
          <w:tab w:val="left" w:pos="567"/>
        </w:tabs>
        <w:spacing w:line="276" w:lineRule="auto"/>
        <w:rPr>
          <w:rFonts w:cs="Arial"/>
          <w:color w:val="2E74B5" w:themeColor="accent1" w:themeShade="BF"/>
          <w:sz w:val="24"/>
          <w:szCs w:val="24"/>
        </w:rPr>
      </w:pPr>
    </w:p>
    <w:p w:rsidR="006E30D6" w:rsidRPr="00E020E8" w:rsidRDefault="006E30D6" w:rsidP="00E020E8">
      <w:pPr>
        <w:pStyle w:val="corte4fondo"/>
        <w:tabs>
          <w:tab w:val="left" w:pos="567"/>
        </w:tabs>
        <w:spacing w:line="276" w:lineRule="auto"/>
        <w:rPr>
          <w:rFonts w:cs="Arial"/>
          <w:color w:val="2E74B5" w:themeColor="accent1" w:themeShade="BF"/>
          <w:sz w:val="24"/>
          <w:szCs w:val="24"/>
        </w:rPr>
      </w:pPr>
      <w:r w:rsidRPr="00E020E8">
        <w:rPr>
          <w:rFonts w:cs="Arial"/>
          <w:color w:val="2E74B5" w:themeColor="accent1" w:themeShade="BF"/>
          <w:sz w:val="24"/>
          <w:szCs w:val="24"/>
        </w:rPr>
        <w:t>Por lo expuesto y fundado, SE RESUELVE:</w:t>
      </w:r>
    </w:p>
    <w:p w:rsidR="006E30D6" w:rsidRPr="00E020E8" w:rsidRDefault="006E30D6" w:rsidP="00E020E8">
      <w:pPr>
        <w:pStyle w:val="corte4fondo"/>
        <w:spacing w:line="276" w:lineRule="auto"/>
        <w:rPr>
          <w:rFonts w:cs="Arial"/>
          <w:b/>
          <w:color w:val="2E74B5" w:themeColor="accent1" w:themeShade="BF"/>
          <w:sz w:val="24"/>
          <w:szCs w:val="24"/>
        </w:rPr>
      </w:pPr>
    </w:p>
    <w:p w:rsidR="00123E81" w:rsidRPr="00E020E8" w:rsidRDefault="00123E81" w:rsidP="00E020E8">
      <w:pPr>
        <w:pStyle w:val="corte4fondo"/>
        <w:tabs>
          <w:tab w:val="left" w:pos="567"/>
        </w:tabs>
        <w:spacing w:line="276" w:lineRule="auto"/>
        <w:rPr>
          <w:rFonts w:cs="Arial"/>
          <w:color w:val="2E74B5" w:themeColor="accent1" w:themeShade="BF"/>
          <w:sz w:val="24"/>
          <w:szCs w:val="24"/>
        </w:rPr>
      </w:pPr>
      <w:r w:rsidRPr="00E020E8">
        <w:rPr>
          <w:rFonts w:cs="Arial"/>
          <w:b/>
          <w:color w:val="2E74B5" w:themeColor="accent1" w:themeShade="BF"/>
          <w:sz w:val="24"/>
          <w:szCs w:val="24"/>
        </w:rPr>
        <w:lastRenderedPageBreak/>
        <w:t>ÚNICO</w:t>
      </w:r>
      <w:r w:rsidRPr="00E020E8">
        <w:rPr>
          <w:rFonts w:cs="Arial"/>
          <w:color w:val="2E74B5" w:themeColor="accent1" w:themeShade="BF"/>
          <w:sz w:val="24"/>
          <w:szCs w:val="24"/>
        </w:rPr>
        <w:t xml:space="preserve">. Esta Comisión Estatal de Garantía y Acceso a la Información Pública </w:t>
      </w:r>
      <w:r w:rsidRPr="00E020E8">
        <w:rPr>
          <w:rFonts w:cs="Arial"/>
          <w:b/>
          <w:color w:val="2E74B5" w:themeColor="accent1" w:themeShade="BF"/>
          <w:sz w:val="24"/>
          <w:szCs w:val="24"/>
        </w:rPr>
        <w:t>revoca</w:t>
      </w:r>
      <w:r w:rsidRPr="00E020E8">
        <w:rPr>
          <w:rFonts w:cs="Arial"/>
          <w:color w:val="2E74B5" w:themeColor="accent1" w:themeShade="BF"/>
          <w:sz w:val="24"/>
          <w:szCs w:val="24"/>
        </w:rPr>
        <w:t xml:space="preserve"> la respuesta del ente obligado por los fundamentos y las razones desarrolladas en el considerando séptimo de la presente resolución.</w:t>
      </w:r>
    </w:p>
    <w:p w:rsidR="00123E81" w:rsidRPr="00E020E8" w:rsidRDefault="00123E81" w:rsidP="00E020E8">
      <w:pPr>
        <w:pStyle w:val="corte4fondo"/>
        <w:tabs>
          <w:tab w:val="left" w:pos="567"/>
        </w:tabs>
        <w:spacing w:line="276" w:lineRule="auto"/>
        <w:rPr>
          <w:rFonts w:cs="Arial"/>
          <w:color w:val="2E74B5" w:themeColor="accent1" w:themeShade="BF"/>
          <w:sz w:val="24"/>
          <w:szCs w:val="24"/>
        </w:rPr>
      </w:pPr>
    </w:p>
    <w:p w:rsidR="006E30D6" w:rsidRPr="00E020E8" w:rsidRDefault="006E30D6" w:rsidP="00E020E8">
      <w:pPr>
        <w:pStyle w:val="corte4fondo"/>
        <w:tabs>
          <w:tab w:val="left" w:pos="567"/>
        </w:tabs>
        <w:spacing w:line="276" w:lineRule="auto"/>
        <w:rPr>
          <w:rFonts w:cs="Arial"/>
          <w:color w:val="2E74B5" w:themeColor="accent1" w:themeShade="BF"/>
          <w:sz w:val="24"/>
          <w:szCs w:val="24"/>
        </w:rPr>
      </w:pPr>
      <w:r w:rsidRPr="00E020E8">
        <w:rPr>
          <w:rFonts w:cs="Arial"/>
          <w:color w:val="2E74B5" w:themeColor="accent1" w:themeShade="BF"/>
          <w:sz w:val="24"/>
          <w:szCs w:val="24"/>
        </w:rPr>
        <w:t xml:space="preserve"> </w:t>
      </w:r>
      <w:r w:rsidRPr="00E020E8">
        <w:rPr>
          <w:rFonts w:cs="Arial"/>
          <w:b/>
          <w:color w:val="2E74B5" w:themeColor="accent1" w:themeShade="BF"/>
          <w:sz w:val="24"/>
          <w:szCs w:val="24"/>
        </w:rPr>
        <w:t xml:space="preserve">Notifíquese; </w:t>
      </w:r>
      <w:r w:rsidRPr="00E020E8">
        <w:rPr>
          <w:rFonts w:cs="Arial"/>
          <w:color w:val="2E74B5" w:themeColor="accent1" w:themeShade="BF"/>
          <w:sz w:val="24"/>
          <w:szCs w:val="24"/>
        </w:rPr>
        <w:t>por oficio a las autoridades</w:t>
      </w:r>
      <w:r w:rsidRPr="00E020E8">
        <w:rPr>
          <w:rFonts w:cs="Arial"/>
          <w:b/>
          <w:color w:val="2E74B5" w:themeColor="accent1" w:themeShade="BF"/>
          <w:sz w:val="24"/>
          <w:szCs w:val="24"/>
        </w:rPr>
        <w:t xml:space="preserve"> </w:t>
      </w:r>
      <w:r w:rsidRPr="00E020E8">
        <w:rPr>
          <w:rFonts w:cs="Arial"/>
          <w:color w:val="2E74B5" w:themeColor="accent1" w:themeShade="BF"/>
          <w:sz w:val="24"/>
          <w:szCs w:val="24"/>
        </w:rPr>
        <w:t>y a la recurrente por el medio que designó.</w:t>
      </w:r>
    </w:p>
    <w:p w:rsidR="006E30D6" w:rsidRPr="00E020E8" w:rsidRDefault="006E30D6" w:rsidP="00E020E8">
      <w:pPr>
        <w:pStyle w:val="corte4fondo"/>
        <w:tabs>
          <w:tab w:val="left" w:pos="567"/>
        </w:tabs>
        <w:spacing w:line="276" w:lineRule="auto"/>
        <w:rPr>
          <w:rFonts w:cs="Arial"/>
          <w:color w:val="2E74B5" w:themeColor="accent1" w:themeShade="BF"/>
          <w:sz w:val="24"/>
          <w:szCs w:val="24"/>
        </w:rPr>
      </w:pPr>
    </w:p>
    <w:p w:rsidR="006E30D6" w:rsidRPr="00E020E8" w:rsidRDefault="006E30D6" w:rsidP="00E020E8">
      <w:pPr>
        <w:pStyle w:val="corte4fondo"/>
        <w:tabs>
          <w:tab w:val="left" w:pos="567"/>
        </w:tabs>
        <w:spacing w:line="276" w:lineRule="auto"/>
        <w:rPr>
          <w:rFonts w:eastAsia="Arial Unicode MS" w:cs="Arial"/>
          <w:color w:val="2E74B5" w:themeColor="accent1" w:themeShade="BF"/>
          <w:sz w:val="24"/>
          <w:szCs w:val="24"/>
        </w:rPr>
      </w:pPr>
      <w:r w:rsidRPr="00E020E8">
        <w:rPr>
          <w:rFonts w:cs="Arial"/>
          <w:color w:val="2E74B5" w:themeColor="accent1" w:themeShade="BF"/>
          <w:sz w:val="24"/>
          <w:szCs w:val="24"/>
        </w:rPr>
        <w:t xml:space="preserve">Así, por unanimidad de votos lo resolvió la Comisión Estatal de Garantía de Acceso a la Información Pública, integrada por los Comisionados Licenciados </w:t>
      </w:r>
      <w:proofErr w:type="spellStart"/>
      <w:r w:rsidRPr="00E020E8">
        <w:rPr>
          <w:rFonts w:cs="Arial"/>
          <w:color w:val="2E74B5" w:themeColor="accent1" w:themeShade="BF"/>
          <w:sz w:val="24"/>
          <w:szCs w:val="24"/>
        </w:rPr>
        <w:t>Mariajosé</w:t>
      </w:r>
      <w:proofErr w:type="spellEnd"/>
      <w:r w:rsidRPr="00E020E8">
        <w:rPr>
          <w:rFonts w:cs="Arial"/>
          <w:color w:val="2E74B5" w:themeColor="accent1" w:themeShade="BF"/>
          <w:sz w:val="24"/>
          <w:szCs w:val="24"/>
        </w:rPr>
        <w:t xml:space="preserve"> González Zarzosa, Mtro. Alejandro Lafuente Torres, Paulina Sánchez Pérez del Pozo, Presidente, siendo ponente la última de los nombrados, quienes, en unión de la Licenciada Rosa María Motilla García, Secretaria de Pleno que da fe, firman esta resolución. </w:t>
      </w:r>
      <w:r w:rsidRPr="00E020E8">
        <w:rPr>
          <w:rFonts w:eastAsia="Arial Unicode MS" w:cs="Arial"/>
          <w:color w:val="2E74B5" w:themeColor="accent1" w:themeShade="BF"/>
          <w:sz w:val="24"/>
          <w:szCs w:val="24"/>
        </w:rPr>
        <w:t xml:space="preserve">   </w:t>
      </w:r>
    </w:p>
    <w:p w:rsidR="006E30D6" w:rsidRPr="00E020E8" w:rsidRDefault="006E30D6" w:rsidP="00E020E8">
      <w:pPr>
        <w:pStyle w:val="corte4fondo"/>
        <w:tabs>
          <w:tab w:val="left" w:pos="567"/>
        </w:tabs>
        <w:spacing w:line="276" w:lineRule="auto"/>
        <w:rPr>
          <w:rFonts w:cs="Arial"/>
          <w:color w:val="2E74B5" w:themeColor="accent1" w:themeShade="BF"/>
          <w:sz w:val="24"/>
          <w:szCs w:val="24"/>
        </w:rPr>
      </w:pPr>
    </w:p>
    <w:p w:rsidR="006E30D6" w:rsidRPr="00E020E8" w:rsidRDefault="006E30D6" w:rsidP="00E020E8">
      <w:pPr>
        <w:spacing w:after="0"/>
        <w:ind w:left="360" w:firstLine="900"/>
        <w:jc w:val="both"/>
        <w:rPr>
          <w:rFonts w:ascii="Arial" w:eastAsia="Arial Unicode MS" w:hAnsi="Arial" w:cs="Arial"/>
          <w:b/>
          <w:color w:val="2E74B5" w:themeColor="accent1" w:themeShade="BF"/>
          <w:sz w:val="24"/>
          <w:szCs w:val="24"/>
        </w:rPr>
      </w:pPr>
    </w:p>
    <w:tbl>
      <w:tblPr>
        <w:tblW w:w="9900" w:type="dxa"/>
        <w:jc w:val="center"/>
        <w:tblLook w:val="01E0" w:firstRow="1" w:lastRow="1" w:firstColumn="1" w:lastColumn="1" w:noHBand="0" w:noVBand="0"/>
      </w:tblPr>
      <w:tblGrid>
        <w:gridCol w:w="4552"/>
        <w:gridCol w:w="154"/>
        <w:gridCol w:w="180"/>
        <w:gridCol w:w="5014"/>
      </w:tblGrid>
      <w:tr w:rsidR="006E30D6" w:rsidRPr="00E020E8" w:rsidTr="001F7281">
        <w:trPr>
          <w:trHeight w:val="2654"/>
          <w:jc w:val="center"/>
        </w:trPr>
        <w:tc>
          <w:tcPr>
            <w:tcW w:w="4706" w:type="dxa"/>
            <w:gridSpan w:val="2"/>
          </w:tcPr>
          <w:p w:rsidR="006E30D6" w:rsidRPr="00E020E8" w:rsidRDefault="006E30D6" w:rsidP="00E020E8">
            <w:pPr>
              <w:spacing w:after="0"/>
              <w:jc w:val="center"/>
              <w:rPr>
                <w:rFonts w:ascii="Arial" w:eastAsia="Arial Unicode MS" w:hAnsi="Arial" w:cs="Arial"/>
                <w:b/>
                <w:color w:val="2E74B5" w:themeColor="accent1" w:themeShade="BF"/>
                <w:sz w:val="24"/>
                <w:szCs w:val="24"/>
              </w:rPr>
            </w:pPr>
            <w:r w:rsidRPr="00E020E8">
              <w:rPr>
                <w:rFonts w:ascii="Arial" w:eastAsia="Arial Unicode MS" w:hAnsi="Arial" w:cs="Arial"/>
                <w:b/>
                <w:color w:val="2E74B5" w:themeColor="accent1" w:themeShade="BF"/>
                <w:sz w:val="24"/>
                <w:szCs w:val="24"/>
              </w:rPr>
              <w:t xml:space="preserve">        COMISIONADA </w:t>
            </w:r>
          </w:p>
          <w:p w:rsidR="006E30D6" w:rsidRPr="00E020E8" w:rsidRDefault="006E30D6" w:rsidP="00E020E8">
            <w:pPr>
              <w:spacing w:after="0"/>
              <w:ind w:left="360" w:firstLine="708"/>
              <w:jc w:val="center"/>
              <w:rPr>
                <w:rFonts w:ascii="Arial" w:eastAsia="Arial Unicode MS" w:hAnsi="Arial" w:cs="Arial"/>
                <w:b/>
                <w:color w:val="2E74B5" w:themeColor="accent1" w:themeShade="BF"/>
                <w:sz w:val="24"/>
                <w:szCs w:val="24"/>
              </w:rPr>
            </w:pPr>
          </w:p>
          <w:p w:rsidR="006E30D6" w:rsidRPr="00E020E8" w:rsidRDefault="006E30D6" w:rsidP="00E020E8">
            <w:pPr>
              <w:spacing w:after="0"/>
              <w:ind w:left="360" w:firstLine="708"/>
              <w:jc w:val="center"/>
              <w:rPr>
                <w:rFonts w:ascii="Arial" w:eastAsia="Arial Unicode MS" w:hAnsi="Arial" w:cs="Arial"/>
                <w:b/>
                <w:color w:val="2E74B5" w:themeColor="accent1" w:themeShade="BF"/>
                <w:sz w:val="24"/>
                <w:szCs w:val="24"/>
              </w:rPr>
            </w:pPr>
          </w:p>
          <w:p w:rsidR="006E30D6" w:rsidRPr="00E020E8" w:rsidRDefault="006E30D6" w:rsidP="00E020E8">
            <w:pPr>
              <w:tabs>
                <w:tab w:val="left" w:pos="1358"/>
              </w:tabs>
              <w:spacing w:after="0"/>
              <w:ind w:firstLine="36"/>
              <w:jc w:val="center"/>
              <w:rPr>
                <w:rFonts w:ascii="Arial" w:eastAsia="Arial Unicode MS" w:hAnsi="Arial" w:cs="Arial"/>
                <w:b/>
                <w:color w:val="2E74B5" w:themeColor="accent1" w:themeShade="BF"/>
                <w:sz w:val="24"/>
                <w:szCs w:val="24"/>
              </w:rPr>
            </w:pPr>
            <w:r w:rsidRPr="00E020E8">
              <w:rPr>
                <w:rFonts w:ascii="Arial" w:eastAsia="Arial Unicode MS" w:hAnsi="Arial" w:cs="Arial"/>
                <w:b/>
                <w:color w:val="2E74B5" w:themeColor="accent1" w:themeShade="BF"/>
                <w:sz w:val="24"/>
                <w:szCs w:val="24"/>
              </w:rPr>
              <w:t xml:space="preserve">MARIAJOSÉ </w:t>
            </w:r>
          </w:p>
          <w:p w:rsidR="006E30D6" w:rsidRPr="00E020E8" w:rsidRDefault="006E30D6" w:rsidP="00E020E8">
            <w:pPr>
              <w:spacing w:after="0"/>
              <w:ind w:left="360" w:firstLine="36"/>
              <w:jc w:val="center"/>
              <w:rPr>
                <w:rFonts w:ascii="Arial" w:eastAsia="Arial Unicode MS" w:hAnsi="Arial" w:cs="Arial"/>
                <w:b/>
                <w:color w:val="2E74B5" w:themeColor="accent1" w:themeShade="BF"/>
                <w:sz w:val="24"/>
                <w:szCs w:val="24"/>
              </w:rPr>
            </w:pPr>
            <w:r w:rsidRPr="00E020E8">
              <w:rPr>
                <w:rFonts w:ascii="Arial" w:eastAsia="Arial Unicode MS" w:hAnsi="Arial" w:cs="Arial"/>
                <w:b/>
                <w:color w:val="2E74B5" w:themeColor="accent1" w:themeShade="BF"/>
                <w:sz w:val="24"/>
                <w:szCs w:val="24"/>
              </w:rPr>
              <w:t xml:space="preserve">GONZÁLEZ ZARZOSA </w:t>
            </w:r>
          </w:p>
          <w:p w:rsidR="006E30D6" w:rsidRPr="00E020E8" w:rsidRDefault="006E30D6" w:rsidP="00E020E8">
            <w:pPr>
              <w:spacing w:after="0"/>
              <w:ind w:left="360" w:firstLine="708"/>
              <w:jc w:val="center"/>
              <w:rPr>
                <w:rFonts w:ascii="Arial" w:eastAsia="Arial Unicode MS" w:hAnsi="Arial" w:cs="Arial"/>
                <w:b/>
                <w:color w:val="2E74B5" w:themeColor="accent1" w:themeShade="BF"/>
                <w:sz w:val="24"/>
                <w:szCs w:val="24"/>
              </w:rPr>
            </w:pPr>
          </w:p>
          <w:p w:rsidR="006E30D6" w:rsidRPr="00E020E8" w:rsidRDefault="006E30D6" w:rsidP="00E020E8">
            <w:pPr>
              <w:spacing w:after="0"/>
              <w:rPr>
                <w:rFonts w:ascii="Arial" w:eastAsia="Arial Unicode MS" w:hAnsi="Arial" w:cs="Arial"/>
                <w:b/>
                <w:color w:val="2E74B5" w:themeColor="accent1" w:themeShade="BF"/>
                <w:sz w:val="24"/>
                <w:szCs w:val="24"/>
              </w:rPr>
            </w:pPr>
            <w:r w:rsidRPr="00E020E8">
              <w:rPr>
                <w:rFonts w:ascii="Arial" w:eastAsia="Arial Unicode MS" w:hAnsi="Arial" w:cs="Arial"/>
                <w:b/>
                <w:color w:val="2E74B5" w:themeColor="accent1" w:themeShade="BF"/>
                <w:sz w:val="24"/>
                <w:szCs w:val="24"/>
              </w:rPr>
              <w:t xml:space="preserve">                   </w:t>
            </w:r>
          </w:p>
          <w:p w:rsidR="006E30D6" w:rsidRPr="00E020E8" w:rsidRDefault="006E30D6" w:rsidP="00E020E8">
            <w:pPr>
              <w:spacing w:after="0"/>
              <w:rPr>
                <w:rFonts w:ascii="Arial" w:eastAsia="Arial Unicode MS" w:hAnsi="Arial" w:cs="Arial"/>
                <w:b/>
                <w:color w:val="2E74B5" w:themeColor="accent1" w:themeShade="BF"/>
                <w:sz w:val="24"/>
                <w:szCs w:val="24"/>
              </w:rPr>
            </w:pPr>
          </w:p>
        </w:tc>
        <w:tc>
          <w:tcPr>
            <w:tcW w:w="5194" w:type="dxa"/>
            <w:gridSpan w:val="2"/>
          </w:tcPr>
          <w:p w:rsidR="006E30D6" w:rsidRPr="00E020E8" w:rsidRDefault="006E30D6" w:rsidP="00E020E8">
            <w:pPr>
              <w:spacing w:after="0"/>
              <w:ind w:left="360" w:firstLine="708"/>
              <w:rPr>
                <w:rFonts w:ascii="Arial" w:eastAsia="Arial Unicode MS" w:hAnsi="Arial" w:cs="Arial"/>
                <w:b/>
                <w:color w:val="2E74B5" w:themeColor="accent1" w:themeShade="BF"/>
                <w:sz w:val="24"/>
                <w:szCs w:val="24"/>
              </w:rPr>
            </w:pPr>
            <w:r w:rsidRPr="00E020E8">
              <w:rPr>
                <w:rFonts w:ascii="Arial" w:eastAsia="Arial Unicode MS" w:hAnsi="Arial" w:cs="Arial"/>
                <w:b/>
                <w:color w:val="2E74B5" w:themeColor="accent1" w:themeShade="BF"/>
                <w:sz w:val="24"/>
                <w:szCs w:val="24"/>
              </w:rPr>
              <w:t xml:space="preserve">              COMISIONADO </w:t>
            </w:r>
          </w:p>
          <w:p w:rsidR="006E30D6" w:rsidRPr="00E020E8" w:rsidRDefault="006E30D6" w:rsidP="00E020E8">
            <w:pPr>
              <w:spacing w:after="0"/>
              <w:ind w:left="360" w:firstLine="708"/>
              <w:jc w:val="center"/>
              <w:rPr>
                <w:rFonts w:ascii="Arial" w:eastAsia="Arial Unicode MS" w:hAnsi="Arial" w:cs="Arial"/>
                <w:b/>
                <w:color w:val="2E74B5" w:themeColor="accent1" w:themeShade="BF"/>
                <w:sz w:val="24"/>
                <w:szCs w:val="24"/>
              </w:rPr>
            </w:pPr>
          </w:p>
          <w:p w:rsidR="006E30D6" w:rsidRPr="00E020E8" w:rsidRDefault="006E30D6" w:rsidP="00E020E8">
            <w:pPr>
              <w:spacing w:after="0"/>
              <w:ind w:left="360" w:firstLine="708"/>
              <w:jc w:val="center"/>
              <w:rPr>
                <w:rFonts w:ascii="Arial" w:eastAsia="Arial Unicode MS" w:hAnsi="Arial" w:cs="Arial"/>
                <w:b/>
                <w:color w:val="2E74B5" w:themeColor="accent1" w:themeShade="BF"/>
                <w:sz w:val="24"/>
                <w:szCs w:val="24"/>
              </w:rPr>
            </w:pPr>
          </w:p>
          <w:p w:rsidR="006E30D6" w:rsidRPr="00E020E8" w:rsidRDefault="006E30D6" w:rsidP="00E020E8">
            <w:pPr>
              <w:spacing w:after="0"/>
              <w:rPr>
                <w:rFonts w:ascii="Arial" w:eastAsia="Arial Unicode MS" w:hAnsi="Arial" w:cs="Arial"/>
                <w:b/>
                <w:color w:val="2E74B5" w:themeColor="accent1" w:themeShade="BF"/>
                <w:sz w:val="24"/>
                <w:szCs w:val="24"/>
              </w:rPr>
            </w:pPr>
            <w:r w:rsidRPr="00E020E8">
              <w:rPr>
                <w:rFonts w:ascii="Arial" w:eastAsia="Arial Unicode MS" w:hAnsi="Arial" w:cs="Arial"/>
                <w:b/>
                <w:color w:val="2E74B5" w:themeColor="accent1" w:themeShade="BF"/>
                <w:sz w:val="24"/>
                <w:szCs w:val="24"/>
              </w:rPr>
              <w:t xml:space="preserve">                     MTRO. ALEJANDRO </w:t>
            </w:r>
          </w:p>
          <w:p w:rsidR="006E30D6" w:rsidRPr="00E020E8" w:rsidRDefault="006E30D6" w:rsidP="00E020E8">
            <w:pPr>
              <w:pStyle w:val="corte4fondo"/>
              <w:tabs>
                <w:tab w:val="left" w:pos="567"/>
              </w:tabs>
              <w:spacing w:line="276" w:lineRule="auto"/>
              <w:ind w:firstLine="0"/>
              <w:rPr>
                <w:rFonts w:cs="Arial"/>
                <w:i/>
                <w:color w:val="2E74B5" w:themeColor="accent1" w:themeShade="BF"/>
                <w:sz w:val="24"/>
                <w:szCs w:val="24"/>
              </w:rPr>
            </w:pPr>
            <w:r w:rsidRPr="00E020E8">
              <w:rPr>
                <w:rFonts w:eastAsia="Arial Unicode MS" w:cs="Arial"/>
                <w:b/>
                <w:color w:val="2E74B5" w:themeColor="accent1" w:themeShade="BF"/>
                <w:sz w:val="24"/>
                <w:szCs w:val="24"/>
              </w:rPr>
              <w:t xml:space="preserve">                    LAFUENTE TORRES</w:t>
            </w:r>
          </w:p>
          <w:p w:rsidR="006E30D6" w:rsidRPr="00E020E8" w:rsidRDefault="006E30D6" w:rsidP="00E020E8">
            <w:pPr>
              <w:spacing w:after="0"/>
              <w:ind w:left="360" w:firstLine="708"/>
              <w:jc w:val="center"/>
              <w:rPr>
                <w:rFonts w:ascii="Arial" w:eastAsia="Arial Unicode MS" w:hAnsi="Arial" w:cs="Arial"/>
                <w:b/>
                <w:color w:val="2E74B5" w:themeColor="accent1" w:themeShade="BF"/>
                <w:sz w:val="24"/>
                <w:szCs w:val="24"/>
              </w:rPr>
            </w:pPr>
          </w:p>
          <w:p w:rsidR="006E30D6" w:rsidRPr="00E020E8" w:rsidRDefault="006E30D6" w:rsidP="00E020E8">
            <w:pPr>
              <w:pStyle w:val="corte4fondo"/>
              <w:tabs>
                <w:tab w:val="left" w:pos="567"/>
              </w:tabs>
              <w:spacing w:line="276" w:lineRule="auto"/>
              <w:ind w:firstLine="0"/>
              <w:rPr>
                <w:rFonts w:eastAsia="Arial Unicode MS" w:cs="Arial"/>
                <w:b/>
                <w:color w:val="2E74B5" w:themeColor="accent1" w:themeShade="BF"/>
                <w:sz w:val="24"/>
                <w:szCs w:val="24"/>
              </w:rPr>
            </w:pPr>
          </w:p>
        </w:tc>
      </w:tr>
      <w:tr w:rsidR="006E30D6" w:rsidRPr="00E020E8" w:rsidTr="001F7281">
        <w:trPr>
          <w:trHeight w:val="2085"/>
          <w:jc w:val="center"/>
        </w:trPr>
        <w:tc>
          <w:tcPr>
            <w:tcW w:w="4552" w:type="dxa"/>
          </w:tcPr>
          <w:p w:rsidR="006E30D6" w:rsidRPr="00E020E8" w:rsidRDefault="006E30D6" w:rsidP="00E020E8">
            <w:pPr>
              <w:spacing w:after="0"/>
              <w:ind w:left="360" w:hanging="360"/>
              <w:jc w:val="center"/>
              <w:rPr>
                <w:rFonts w:ascii="Arial" w:eastAsia="Arial Unicode MS" w:hAnsi="Arial" w:cs="Arial"/>
                <w:b/>
                <w:color w:val="2E74B5" w:themeColor="accent1" w:themeShade="BF"/>
                <w:sz w:val="24"/>
                <w:szCs w:val="24"/>
              </w:rPr>
            </w:pPr>
            <w:r w:rsidRPr="00E020E8">
              <w:rPr>
                <w:rFonts w:ascii="Arial" w:eastAsia="Arial Unicode MS" w:hAnsi="Arial" w:cs="Arial"/>
                <w:b/>
                <w:color w:val="2E74B5" w:themeColor="accent1" w:themeShade="BF"/>
                <w:sz w:val="24"/>
                <w:szCs w:val="24"/>
              </w:rPr>
              <w:t>COMISIONADA PRESIDENTE</w:t>
            </w:r>
          </w:p>
          <w:p w:rsidR="006E30D6" w:rsidRPr="00E020E8" w:rsidRDefault="006E30D6" w:rsidP="00E020E8">
            <w:pPr>
              <w:spacing w:after="0"/>
              <w:ind w:left="360"/>
              <w:rPr>
                <w:rFonts w:ascii="Arial" w:eastAsia="Arial Unicode MS" w:hAnsi="Arial" w:cs="Arial"/>
                <w:b/>
                <w:color w:val="2E74B5" w:themeColor="accent1" w:themeShade="BF"/>
                <w:sz w:val="24"/>
                <w:szCs w:val="24"/>
              </w:rPr>
            </w:pPr>
          </w:p>
          <w:p w:rsidR="006E30D6" w:rsidRPr="00E020E8" w:rsidRDefault="006E30D6" w:rsidP="00E020E8">
            <w:pPr>
              <w:spacing w:after="0"/>
              <w:ind w:left="360"/>
              <w:rPr>
                <w:rFonts w:ascii="Arial" w:eastAsia="Arial Unicode MS" w:hAnsi="Arial" w:cs="Arial"/>
                <w:b/>
                <w:color w:val="2E74B5" w:themeColor="accent1" w:themeShade="BF"/>
                <w:sz w:val="24"/>
                <w:szCs w:val="24"/>
              </w:rPr>
            </w:pPr>
          </w:p>
          <w:p w:rsidR="006E30D6" w:rsidRPr="00E020E8" w:rsidRDefault="006E30D6" w:rsidP="00E020E8">
            <w:pPr>
              <w:spacing w:after="0"/>
              <w:ind w:left="360"/>
              <w:rPr>
                <w:rFonts w:ascii="Arial" w:eastAsia="Arial Unicode MS" w:hAnsi="Arial" w:cs="Arial"/>
                <w:b/>
                <w:color w:val="2E74B5" w:themeColor="accent1" w:themeShade="BF"/>
                <w:sz w:val="24"/>
                <w:szCs w:val="24"/>
              </w:rPr>
            </w:pPr>
          </w:p>
          <w:p w:rsidR="006E30D6" w:rsidRPr="00E020E8" w:rsidRDefault="006E30D6" w:rsidP="00E020E8">
            <w:pPr>
              <w:spacing w:after="0"/>
              <w:jc w:val="center"/>
              <w:rPr>
                <w:rFonts w:ascii="Arial" w:eastAsia="Arial Unicode MS" w:hAnsi="Arial" w:cs="Arial"/>
                <w:b/>
                <w:color w:val="2E74B5" w:themeColor="accent1" w:themeShade="BF"/>
                <w:sz w:val="24"/>
                <w:szCs w:val="24"/>
              </w:rPr>
            </w:pPr>
            <w:r w:rsidRPr="00E020E8">
              <w:rPr>
                <w:rFonts w:ascii="Arial" w:eastAsia="Arial Unicode MS" w:hAnsi="Arial" w:cs="Arial"/>
                <w:b/>
                <w:color w:val="2E74B5" w:themeColor="accent1" w:themeShade="BF"/>
                <w:sz w:val="24"/>
                <w:szCs w:val="24"/>
              </w:rPr>
              <w:t xml:space="preserve">LIC. PAULINA SÁNCHEZ </w:t>
            </w:r>
          </w:p>
          <w:p w:rsidR="006E30D6" w:rsidRPr="00E020E8" w:rsidRDefault="006E30D6" w:rsidP="00E020E8">
            <w:pPr>
              <w:spacing w:after="0"/>
              <w:jc w:val="center"/>
              <w:rPr>
                <w:rFonts w:ascii="Arial" w:eastAsia="Arial Unicode MS" w:hAnsi="Arial" w:cs="Arial"/>
                <w:b/>
                <w:color w:val="2E74B5" w:themeColor="accent1" w:themeShade="BF"/>
                <w:sz w:val="24"/>
                <w:szCs w:val="24"/>
              </w:rPr>
            </w:pPr>
            <w:r w:rsidRPr="00E020E8">
              <w:rPr>
                <w:rFonts w:ascii="Arial" w:eastAsia="Arial Unicode MS" w:hAnsi="Arial" w:cs="Arial"/>
                <w:b/>
                <w:color w:val="2E74B5" w:themeColor="accent1" w:themeShade="BF"/>
                <w:sz w:val="24"/>
                <w:szCs w:val="24"/>
              </w:rPr>
              <w:t>PÉREZ DEL POZO</w:t>
            </w:r>
          </w:p>
          <w:p w:rsidR="006E30D6" w:rsidRPr="00E020E8" w:rsidRDefault="006E30D6" w:rsidP="00E020E8">
            <w:pPr>
              <w:spacing w:after="0"/>
              <w:ind w:left="360" w:firstLine="36"/>
              <w:jc w:val="center"/>
              <w:rPr>
                <w:rFonts w:ascii="Arial" w:eastAsia="Arial Unicode MS" w:hAnsi="Arial" w:cs="Arial"/>
                <w:b/>
                <w:color w:val="2E74B5" w:themeColor="accent1" w:themeShade="BF"/>
                <w:sz w:val="24"/>
                <w:szCs w:val="24"/>
              </w:rPr>
            </w:pPr>
          </w:p>
        </w:tc>
        <w:tc>
          <w:tcPr>
            <w:tcW w:w="334" w:type="dxa"/>
            <w:gridSpan w:val="2"/>
          </w:tcPr>
          <w:p w:rsidR="006E30D6" w:rsidRPr="00E020E8" w:rsidRDefault="006E30D6" w:rsidP="00E020E8">
            <w:pPr>
              <w:spacing w:after="0"/>
              <w:ind w:left="360" w:firstLine="708"/>
              <w:jc w:val="center"/>
              <w:rPr>
                <w:rFonts w:ascii="Arial" w:eastAsia="Arial Unicode MS" w:hAnsi="Arial" w:cs="Arial"/>
                <w:b/>
                <w:color w:val="2E74B5" w:themeColor="accent1" w:themeShade="BF"/>
                <w:sz w:val="24"/>
                <w:szCs w:val="24"/>
              </w:rPr>
            </w:pPr>
          </w:p>
        </w:tc>
        <w:tc>
          <w:tcPr>
            <w:tcW w:w="5014" w:type="dxa"/>
          </w:tcPr>
          <w:p w:rsidR="006E30D6" w:rsidRPr="00E020E8" w:rsidRDefault="006E30D6" w:rsidP="00E020E8">
            <w:pPr>
              <w:spacing w:after="0"/>
              <w:ind w:left="360" w:firstLine="708"/>
              <w:rPr>
                <w:rFonts w:ascii="Arial" w:eastAsia="Arial Unicode MS" w:hAnsi="Arial" w:cs="Arial"/>
                <w:b/>
                <w:color w:val="2E74B5" w:themeColor="accent1" w:themeShade="BF"/>
                <w:sz w:val="24"/>
                <w:szCs w:val="24"/>
              </w:rPr>
            </w:pPr>
            <w:r w:rsidRPr="00E020E8">
              <w:rPr>
                <w:rFonts w:ascii="Arial" w:eastAsia="Arial Unicode MS" w:hAnsi="Arial" w:cs="Arial"/>
                <w:b/>
                <w:color w:val="2E74B5" w:themeColor="accent1" w:themeShade="BF"/>
                <w:sz w:val="24"/>
                <w:szCs w:val="24"/>
              </w:rPr>
              <w:t>SECRETARIA DE PLENO</w:t>
            </w:r>
          </w:p>
          <w:p w:rsidR="006E30D6" w:rsidRPr="00E020E8" w:rsidRDefault="006E30D6" w:rsidP="00E020E8">
            <w:pPr>
              <w:spacing w:after="0"/>
              <w:ind w:left="360" w:firstLine="708"/>
              <w:jc w:val="center"/>
              <w:rPr>
                <w:rFonts w:ascii="Arial" w:eastAsia="Arial Unicode MS" w:hAnsi="Arial" w:cs="Arial"/>
                <w:b/>
                <w:color w:val="2E74B5" w:themeColor="accent1" w:themeShade="BF"/>
                <w:sz w:val="24"/>
                <w:szCs w:val="24"/>
              </w:rPr>
            </w:pPr>
          </w:p>
          <w:p w:rsidR="006E30D6" w:rsidRPr="00E020E8" w:rsidRDefault="006E30D6" w:rsidP="00E020E8">
            <w:pPr>
              <w:spacing w:after="0"/>
              <w:ind w:left="360" w:firstLine="708"/>
              <w:jc w:val="center"/>
              <w:rPr>
                <w:rFonts w:ascii="Arial" w:eastAsia="Arial Unicode MS" w:hAnsi="Arial" w:cs="Arial"/>
                <w:b/>
                <w:color w:val="2E74B5" w:themeColor="accent1" w:themeShade="BF"/>
                <w:sz w:val="24"/>
                <w:szCs w:val="24"/>
              </w:rPr>
            </w:pPr>
          </w:p>
          <w:p w:rsidR="006E30D6" w:rsidRPr="00E020E8" w:rsidRDefault="006E30D6" w:rsidP="00E020E8">
            <w:pPr>
              <w:spacing w:after="0"/>
              <w:ind w:left="360" w:firstLine="708"/>
              <w:jc w:val="center"/>
              <w:rPr>
                <w:rFonts w:ascii="Arial" w:eastAsia="Arial Unicode MS" w:hAnsi="Arial" w:cs="Arial"/>
                <w:b/>
                <w:color w:val="2E74B5" w:themeColor="accent1" w:themeShade="BF"/>
                <w:sz w:val="24"/>
                <w:szCs w:val="24"/>
              </w:rPr>
            </w:pPr>
          </w:p>
          <w:p w:rsidR="006E30D6" w:rsidRPr="00E020E8" w:rsidRDefault="006E30D6" w:rsidP="00E020E8">
            <w:pPr>
              <w:spacing w:after="0"/>
              <w:ind w:left="360" w:hanging="360"/>
              <w:jc w:val="center"/>
              <w:rPr>
                <w:rFonts w:ascii="Arial" w:eastAsia="Arial Unicode MS" w:hAnsi="Arial" w:cs="Arial"/>
                <w:b/>
                <w:color w:val="2E74B5" w:themeColor="accent1" w:themeShade="BF"/>
                <w:sz w:val="24"/>
                <w:szCs w:val="24"/>
              </w:rPr>
            </w:pPr>
            <w:r w:rsidRPr="00E020E8">
              <w:rPr>
                <w:rFonts w:ascii="Arial" w:eastAsia="Arial Unicode MS" w:hAnsi="Arial" w:cs="Arial"/>
                <w:b/>
                <w:color w:val="2E74B5" w:themeColor="accent1" w:themeShade="BF"/>
                <w:sz w:val="24"/>
                <w:szCs w:val="24"/>
              </w:rPr>
              <w:t xml:space="preserve">LIC. ROSA MARÍA MOTILLA GARCÍA </w:t>
            </w:r>
          </w:p>
        </w:tc>
      </w:tr>
    </w:tbl>
    <w:p w:rsidR="006E30D6" w:rsidRPr="00E020E8" w:rsidRDefault="006E30D6" w:rsidP="00E020E8">
      <w:pPr>
        <w:pStyle w:val="corte4fondo"/>
        <w:tabs>
          <w:tab w:val="left" w:pos="567"/>
        </w:tabs>
        <w:spacing w:line="276" w:lineRule="auto"/>
        <w:ind w:firstLine="0"/>
        <w:rPr>
          <w:rFonts w:cs="Arial"/>
          <w:color w:val="2E74B5" w:themeColor="accent1" w:themeShade="BF"/>
          <w:sz w:val="10"/>
          <w:szCs w:val="10"/>
        </w:rPr>
      </w:pPr>
    </w:p>
    <w:p w:rsidR="006E30D6" w:rsidRPr="00E020E8" w:rsidRDefault="006E30D6" w:rsidP="00E020E8">
      <w:pPr>
        <w:pStyle w:val="corte4fondo"/>
        <w:tabs>
          <w:tab w:val="left" w:pos="567"/>
        </w:tabs>
        <w:spacing w:line="276" w:lineRule="auto"/>
        <w:ind w:firstLine="0"/>
        <w:rPr>
          <w:rFonts w:cs="Arial"/>
          <w:color w:val="2E74B5" w:themeColor="accent1" w:themeShade="BF"/>
          <w:sz w:val="10"/>
          <w:szCs w:val="10"/>
        </w:rPr>
      </w:pPr>
    </w:p>
    <w:p w:rsidR="006E30D6" w:rsidRPr="00E020E8" w:rsidRDefault="006E30D6" w:rsidP="00E020E8">
      <w:pPr>
        <w:pStyle w:val="corte4fondo"/>
        <w:tabs>
          <w:tab w:val="left" w:pos="567"/>
        </w:tabs>
        <w:spacing w:line="276" w:lineRule="auto"/>
        <w:ind w:firstLine="0"/>
        <w:rPr>
          <w:rFonts w:cs="Arial"/>
          <w:color w:val="2E74B5" w:themeColor="accent1" w:themeShade="BF"/>
          <w:sz w:val="10"/>
          <w:szCs w:val="10"/>
        </w:rPr>
      </w:pPr>
    </w:p>
    <w:p w:rsidR="006E30D6" w:rsidRPr="00E020E8" w:rsidRDefault="006E30D6" w:rsidP="00E020E8">
      <w:pPr>
        <w:pStyle w:val="corte4fondo"/>
        <w:tabs>
          <w:tab w:val="left" w:pos="567"/>
        </w:tabs>
        <w:spacing w:line="276" w:lineRule="auto"/>
        <w:ind w:firstLine="0"/>
        <w:rPr>
          <w:rFonts w:cs="Arial"/>
          <w:color w:val="2E74B5" w:themeColor="accent1" w:themeShade="BF"/>
          <w:sz w:val="10"/>
          <w:szCs w:val="10"/>
        </w:rPr>
      </w:pPr>
    </w:p>
    <w:p w:rsidR="006E30D6" w:rsidRPr="00E020E8" w:rsidRDefault="006E30D6" w:rsidP="00E020E8">
      <w:pPr>
        <w:pStyle w:val="corte4fondo"/>
        <w:tabs>
          <w:tab w:val="left" w:pos="567"/>
        </w:tabs>
        <w:spacing w:line="276" w:lineRule="auto"/>
        <w:ind w:firstLine="0"/>
        <w:rPr>
          <w:rFonts w:cs="Arial"/>
          <w:color w:val="2E74B5" w:themeColor="accent1" w:themeShade="BF"/>
          <w:sz w:val="10"/>
          <w:szCs w:val="10"/>
        </w:rPr>
      </w:pPr>
      <w:r w:rsidRPr="00E020E8">
        <w:rPr>
          <w:rFonts w:cs="Arial"/>
          <w:color w:val="2E74B5" w:themeColor="accent1" w:themeShade="BF"/>
          <w:sz w:val="10"/>
          <w:szCs w:val="10"/>
        </w:rPr>
        <w:t>*ESTAS FIRMAS PERTENECEN A</w:t>
      </w:r>
      <w:r w:rsidR="009A21BA" w:rsidRPr="00E020E8">
        <w:rPr>
          <w:rFonts w:cs="Arial"/>
          <w:color w:val="2E74B5" w:themeColor="accent1" w:themeShade="BF"/>
          <w:sz w:val="10"/>
          <w:szCs w:val="10"/>
        </w:rPr>
        <w:t xml:space="preserve"> LA RESOLUCIÓN DE LA REVISIÓN 749</w:t>
      </w:r>
      <w:r w:rsidRPr="00E020E8">
        <w:rPr>
          <w:rFonts w:cs="Arial"/>
          <w:color w:val="2E74B5" w:themeColor="accent1" w:themeShade="BF"/>
          <w:sz w:val="10"/>
          <w:szCs w:val="10"/>
        </w:rPr>
        <w:t>/2018-2 QUE FUE INTERPUESTO CONTRA LA OFICILÍA MAYOR Y QUE</w:t>
      </w:r>
      <w:r w:rsidR="009A21BA" w:rsidRPr="00E020E8">
        <w:rPr>
          <w:rFonts w:cs="Arial"/>
          <w:color w:val="2E74B5" w:themeColor="accent1" w:themeShade="BF"/>
          <w:sz w:val="10"/>
          <w:szCs w:val="10"/>
        </w:rPr>
        <w:t xml:space="preserve"> FUE APROBADA EN LA SESIÓN </w:t>
      </w:r>
      <w:r w:rsidRPr="00E020E8">
        <w:rPr>
          <w:rFonts w:cs="Arial"/>
          <w:color w:val="2E74B5" w:themeColor="accent1" w:themeShade="BF"/>
          <w:sz w:val="10"/>
          <w:szCs w:val="10"/>
        </w:rPr>
        <w:t xml:space="preserve">ORDINARIA DEL </w:t>
      </w:r>
      <w:r w:rsidR="009A21BA" w:rsidRPr="00E020E8">
        <w:rPr>
          <w:rFonts w:cs="Arial"/>
          <w:color w:val="2E74B5" w:themeColor="accent1" w:themeShade="BF"/>
          <w:sz w:val="10"/>
          <w:szCs w:val="10"/>
        </w:rPr>
        <w:t xml:space="preserve">05 CINCO DE DICIEMBRE </w:t>
      </w:r>
      <w:r w:rsidRPr="00E020E8">
        <w:rPr>
          <w:rFonts w:cs="Arial"/>
          <w:color w:val="2E74B5" w:themeColor="accent1" w:themeShade="BF"/>
          <w:sz w:val="10"/>
          <w:szCs w:val="10"/>
        </w:rPr>
        <w:t xml:space="preserve">DE 2018 DOS MIL DIECIOCHO.                     </w:t>
      </w:r>
    </w:p>
    <w:p w:rsidR="006E30D6" w:rsidRPr="00E020E8" w:rsidRDefault="006E30D6" w:rsidP="00E020E8">
      <w:pPr>
        <w:pStyle w:val="corte4fondo"/>
        <w:tabs>
          <w:tab w:val="left" w:pos="567"/>
        </w:tabs>
        <w:spacing w:line="276" w:lineRule="auto"/>
        <w:ind w:firstLine="0"/>
        <w:rPr>
          <w:rFonts w:cs="Arial"/>
          <w:color w:val="2E74B5" w:themeColor="accent1" w:themeShade="BF"/>
          <w:sz w:val="10"/>
          <w:szCs w:val="10"/>
        </w:rPr>
      </w:pPr>
    </w:p>
    <w:p w:rsidR="006E30D6" w:rsidRPr="00E020E8" w:rsidRDefault="006E30D6" w:rsidP="00E020E8">
      <w:pPr>
        <w:pStyle w:val="corte4fondo"/>
        <w:tabs>
          <w:tab w:val="left" w:pos="567"/>
        </w:tabs>
        <w:spacing w:line="276" w:lineRule="auto"/>
        <w:ind w:firstLine="0"/>
        <w:rPr>
          <w:rFonts w:cs="Arial"/>
          <w:color w:val="2E74B5" w:themeColor="accent1" w:themeShade="BF"/>
          <w:sz w:val="10"/>
          <w:szCs w:val="10"/>
        </w:rPr>
      </w:pPr>
    </w:p>
    <w:p w:rsidR="006E30D6" w:rsidRPr="00E020E8" w:rsidRDefault="006E30D6" w:rsidP="00E020E8">
      <w:pPr>
        <w:pStyle w:val="corte4fondo"/>
        <w:tabs>
          <w:tab w:val="left" w:pos="567"/>
        </w:tabs>
        <w:spacing w:line="276" w:lineRule="auto"/>
        <w:ind w:firstLine="0"/>
        <w:rPr>
          <w:rFonts w:cs="Arial"/>
          <w:color w:val="2E74B5" w:themeColor="accent1" w:themeShade="BF"/>
          <w:sz w:val="10"/>
          <w:szCs w:val="10"/>
        </w:rPr>
      </w:pPr>
    </w:p>
    <w:p w:rsidR="006E30D6" w:rsidRPr="00E020E8" w:rsidRDefault="006E30D6" w:rsidP="00E020E8">
      <w:pPr>
        <w:pStyle w:val="corte4fondo"/>
        <w:tabs>
          <w:tab w:val="left" w:pos="567"/>
        </w:tabs>
        <w:spacing w:line="276" w:lineRule="auto"/>
        <w:ind w:firstLine="0"/>
        <w:rPr>
          <w:rFonts w:cs="Arial"/>
          <w:color w:val="2E74B5" w:themeColor="accent1" w:themeShade="BF"/>
          <w:sz w:val="10"/>
          <w:szCs w:val="10"/>
        </w:rPr>
      </w:pPr>
    </w:p>
    <w:p w:rsidR="006E30D6" w:rsidRPr="00E020E8" w:rsidRDefault="006E30D6" w:rsidP="00E020E8">
      <w:pPr>
        <w:pStyle w:val="corte4fondo"/>
        <w:tabs>
          <w:tab w:val="left" w:pos="567"/>
        </w:tabs>
        <w:spacing w:line="276" w:lineRule="auto"/>
        <w:ind w:firstLine="0"/>
        <w:rPr>
          <w:rFonts w:cs="Arial"/>
          <w:color w:val="2E74B5" w:themeColor="accent1" w:themeShade="BF"/>
        </w:rPr>
      </w:pPr>
      <w:r w:rsidRPr="00E020E8">
        <w:rPr>
          <w:rFonts w:cs="Arial"/>
          <w:color w:val="2E74B5" w:themeColor="accent1" w:themeShade="BF"/>
          <w:sz w:val="10"/>
          <w:szCs w:val="10"/>
        </w:rPr>
        <w:t xml:space="preserve"> </w:t>
      </w:r>
      <w:r w:rsidRPr="00E020E8">
        <w:rPr>
          <w:rFonts w:cs="Arial"/>
          <w:i/>
          <w:color w:val="2E74B5" w:themeColor="accent1" w:themeShade="BF"/>
          <w:sz w:val="10"/>
          <w:szCs w:val="10"/>
        </w:rPr>
        <w:t xml:space="preserve">L/MEMH </w:t>
      </w:r>
    </w:p>
    <w:p w:rsidR="006E30D6" w:rsidRPr="00E020E8" w:rsidRDefault="006E30D6" w:rsidP="00E020E8">
      <w:pPr>
        <w:spacing w:after="0"/>
        <w:rPr>
          <w:rFonts w:ascii="Arial" w:hAnsi="Arial" w:cs="Arial"/>
          <w:color w:val="2E74B5" w:themeColor="accent1" w:themeShade="BF"/>
        </w:rPr>
      </w:pPr>
    </w:p>
    <w:p w:rsidR="00995B21" w:rsidRPr="00E020E8" w:rsidRDefault="00995B21" w:rsidP="00E020E8">
      <w:pPr>
        <w:spacing w:after="0"/>
        <w:rPr>
          <w:rFonts w:ascii="Arial" w:hAnsi="Arial" w:cs="Arial"/>
        </w:rPr>
      </w:pPr>
      <w:bookmarkStart w:id="0" w:name="_GoBack"/>
      <w:bookmarkEnd w:id="0"/>
    </w:p>
    <w:sectPr w:rsidR="00995B21" w:rsidRPr="00E020E8" w:rsidSect="00A4764C">
      <w:headerReference w:type="default" r:id="rId11"/>
      <w:pgSz w:w="12242" w:h="20163" w:code="5"/>
      <w:pgMar w:top="2835" w:right="851" w:bottom="2268"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B40" w:rsidRDefault="004F7B40" w:rsidP="006E30D6">
      <w:pPr>
        <w:spacing w:after="0" w:line="240" w:lineRule="auto"/>
      </w:pPr>
      <w:r>
        <w:separator/>
      </w:r>
    </w:p>
  </w:endnote>
  <w:endnote w:type="continuationSeparator" w:id="0">
    <w:p w:rsidR="004F7B40" w:rsidRDefault="004F7B40" w:rsidP="006E30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B40" w:rsidRDefault="004F7B40" w:rsidP="006E30D6">
      <w:pPr>
        <w:spacing w:after="0" w:line="240" w:lineRule="auto"/>
      </w:pPr>
      <w:r>
        <w:separator/>
      </w:r>
    </w:p>
  </w:footnote>
  <w:footnote w:type="continuationSeparator" w:id="0">
    <w:p w:rsidR="004F7B40" w:rsidRDefault="004F7B40" w:rsidP="006E30D6">
      <w:pPr>
        <w:spacing w:after="0" w:line="240" w:lineRule="auto"/>
      </w:pPr>
      <w:r>
        <w:continuationSeparator/>
      </w:r>
    </w:p>
  </w:footnote>
  <w:footnote w:id="1">
    <w:p w:rsidR="006E30D6" w:rsidRPr="00DA1577" w:rsidRDefault="006E30D6" w:rsidP="006E30D6">
      <w:pPr>
        <w:pStyle w:val="Textonotapie"/>
        <w:jc w:val="both"/>
        <w:rPr>
          <w:rFonts w:ascii="Arial" w:hAnsi="Arial" w:cs="Arial"/>
          <w:sz w:val="16"/>
          <w:szCs w:val="16"/>
        </w:rPr>
      </w:pPr>
      <w:r w:rsidRPr="008F6BAA">
        <w:rPr>
          <w:rStyle w:val="Refdenotaalpie"/>
          <w:rFonts w:ascii="Arial" w:hAnsi="Arial" w:cs="Arial"/>
          <w:color w:val="2E74B5" w:themeColor="accent1" w:themeShade="BF"/>
          <w:sz w:val="16"/>
          <w:szCs w:val="16"/>
        </w:rPr>
        <w:footnoteRef/>
      </w:r>
      <w:r w:rsidRPr="008F6BAA">
        <w:rPr>
          <w:rFonts w:ascii="Arial" w:hAnsi="Arial" w:cs="Arial"/>
          <w:color w:val="2E74B5" w:themeColor="accent1" w:themeShade="BF"/>
          <w:sz w:val="16"/>
          <w:szCs w:val="16"/>
        </w:rPr>
        <w:t xml:space="preserve"> Visible en la foja 1 de autos. </w:t>
      </w:r>
    </w:p>
  </w:footnote>
  <w:footnote w:id="2">
    <w:p w:rsidR="00E6656F" w:rsidRPr="00A2402C" w:rsidRDefault="00E6656F" w:rsidP="00E6656F">
      <w:pPr>
        <w:pStyle w:val="Textonotapie"/>
        <w:jc w:val="both"/>
        <w:rPr>
          <w:rFonts w:ascii="Arial" w:hAnsi="Arial" w:cs="Arial"/>
          <w:color w:val="2E74B5" w:themeColor="accent1" w:themeShade="BF"/>
          <w:sz w:val="16"/>
          <w:szCs w:val="16"/>
        </w:rPr>
      </w:pPr>
      <w:r w:rsidRPr="00A2402C">
        <w:rPr>
          <w:rStyle w:val="Refdenotaalpie"/>
          <w:rFonts w:cs="Arial"/>
          <w:color w:val="2E74B5" w:themeColor="accent1" w:themeShade="BF"/>
          <w:sz w:val="16"/>
          <w:szCs w:val="16"/>
        </w:rPr>
        <w:footnoteRef/>
      </w:r>
      <w:r w:rsidRPr="00A2402C">
        <w:rPr>
          <w:rFonts w:ascii="Arial" w:hAnsi="Arial" w:cs="Arial"/>
          <w:color w:val="2E74B5" w:themeColor="accent1" w:themeShade="BF"/>
          <w:sz w:val="16"/>
          <w:szCs w:val="16"/>
        </w:rPr>
        <w:t xml:space="preserve"> Visible en la foja </w:t>
      </w:r>
      <w:r>
        <w:rPr>
          <w:rFonts w:ascii="Arial" w:hAnsi="Arial" w:cs="Arial"/>
          <w:color w:val="2E74B5" w:themeColor="accent1" w:themeShade="BF"/>
          <w:sz w:val="16"/>
          <w:szCs w:val="16"/>
        </w:rPr>
        <w:t>10</w:t>
      </w:r>
      <w:r w:rsidRPr="00A2402C">
        <w:rPr>
          <w:rFonts w:ascii="Arial" w:hAnsi="Arial" w:cs="Arial"/>
          <w:color w:val="2E74B5" w:themeColor="accent1" w:themeShade="BF"/>
          <w:sz w:val="16"/>
          <w:szCs w:val="16"/>
        </w:rPr>
        <w:t xml:space="preserve"> de autos. </w:t>
      </w:r>
    </w:p>
  </w:footnote>
  <w:footnote w:id="3">
    <w:p w:rsidR="004A4991" w:rsidRPr="007D79FE" w:rsidRDefault="004A4991" w:rsidP="004A4991">
      <w:pPr>
        <w:pStyle w:val="Textonotapie"/>
        <w:rPr>
          <w:color w:val="2E74B5" w:themeColor="accent1" w:themeShade="BF"/>
        </w:rPr>
      </w:pPr>
      <w:r w:rsidRPr="007D79FE">
        <w:rPr>
          <w:rStyle w:val="Refdenotaalpie"/>
          <w:color w:val="2E74B5" w:themeColor="accent1" w:themeShade="BF"/>
        </w:rPr>
        <w:footnoteRef/>
      </w:r>
      <w:r w:rsidRPr="007D79FE">
        <w:rPr>
          <w:color w:val="2E74B5" w:themeColor="accent1" w:themeShade="BF"/>
        </w:rPr>
        <w:t xml:space="preserve"> </w:t>
      </w:r>
      <w:r>
        <w:rPr>
          <w:rFonts w:ascii="Arial" w:hAnsi="Arial" w:cs="Arial"/>
          <w:color w:val="2E74B5" w:themeColor="accent1" w:themeShade="BF"/>
          <w:sz w:val="16"/>
          <w:szCs w:val="16"/>
        </w:rPr>
        <w:t>Visible a foja</w:t>
      </w:r>
      <w:r w:rsidR="00E52F7E">
        <w:rPr>
          <w:rFonts w:ascii="Arial" w:hAnsi="Arial" w:cs="Arial"/>
          <w:color w:val="2E74B5" w:themeColor="accent1" w:themeShade="BF"/>
          <w:sz w:val="16"/>
          <w:szCs w:val="16"/>
        </w:rPr>
        <w:t>s</w:t>
      </w:r>
      <w:r w:rsidRPr="007D79FE">
        <w:rPr>
          <w:rFonts w:ascii="Arial" w:hAnsi="Arial" w:cs="Arial"/>
          <w:color w:val="2E74B5" w:themeColor="accent1" w:themeShade="BF"/>
          <w:sz w:val="16"/>
          <w:szCs w:val="16"/>
        </w:rPr>
        <w:t xml:space="preserve"> </w:t>
      </w:r>
      <w:r w:rsidR="00E52F7E">
        <w:rPr>
          <w:rFonts w:ascii="Arial" w:hAnsi="Arial" w:cs="Arial"/>
          <w:color w:val="2E74B5" w:themeColor="accent1" w:themeShade="BF"/>
          <w:sz w:val="16"/>
          <w:szCs w:val="16"/>
        </w:rPr>
        <w:t>4 y 5</w:t>
      </w:r>
      <w:r w:rsidRPr="007D79FE">
        <w:rPr>
          <w:rFonts w:ascii="Arial" w:hAnsi="Arial" w:cs="Arial"/>
          <w:color w:val="2E74B5" w:themeColor="accent1" w:themeShade="BF"/>
          <w:sz w:val="16"/>
          <w:szCs w:val="16"/>
        </w:rPr>
        <w:t xml:space="preserve"> de autos. </w:t>
      </w:r>
    </w:p>
  </w:footnote>
  <w:footnote w:id="4">
    <w:p w:rsidR="006E30D6" w:rsidRPr="005E4104" w:rsidRDefault="006E30D6" w:rsidP="006E30D6">
      <w:pPr>
        <w:pStyle w:val="Default"/>
        <w:jc w:val="both"/>
        <w:rPr>
          <w:rFonts w:eastAsia="Arial Unicode MS"/>
          <w:color w:val="2E74B5" w:themeColor="accent1" w:themeShade="BF"/>
          <w:sz w:val="14"/>
          <w:szCs w:val="14"/>
        </w:rPr>
      </w:pPr>
      <w:r w:rsidRPr="005E4104">
        <w:rPr>
          <w:rStyle w:val="Refdenotaalpie"/>
          <w:rFonts w:eastAsia="Arial Unicode MS"/>
          <w:color w:val="2E74B5" w:themeColor="accent1" w:themeShade="BF"/>
          <w:sz w:val="14"/>
          <w:szCs w:val="14"/>
        </w:rPr>
        <w:footnoteRef/>
      </w:r>
      <w:r w:rsidRPr="005E4104">
        <w:rPr>
          <w:rFonts w:eastAsia="Arial Unicode MS"/>
          <w:color w:val="2E74B5" w:themeColor="accent1" w:themeShade="BF"/>
          <w:sz w:val="14"/>
          <w:szCs w:val="14"/>
        </w:rPr>
        <w:t xml:space="preserve"> </w:t>
      </w:r>
      <w:r w:rsidRPr="005E4104">
        <w:rPr>
          <w:rFonts w:eastAsia="Arial Unicode MS"/>
          <w:b/>
          <w:color w:val="2E74B5" w:themeColor="accent1" w:themeShade="BF"/>
          <w:sz w:val="14"/>
          <w:szCs w:val="14"/>
        </w:rPr>
        <w:t>ARTÍCULO 1°.</w:t>
      </w:r>
      <w:r w:rsidRPr="005E4104">
        <w:rPr>
          <w:rFonts w:eastAsia="Arial Unicode MS"/>
          <w:color w:val="2E74B5" w:themeColor="accent1" w:themeShade="BF"/>
          <w:sz w:val="14"/>
          <w:szCs w:val="14"/>
        </w:rPr>
        <w:t xml:space="preserve"> – […] Tiene por objeto transparentar el ejercicio de la función pública y establecer los principios, bases generales y procedimientos para garantizar a toda persona el derecho humano de acceso a la información en posesión de cualquier autoridad, entidad, órgano y organismo de los poderes, Legislativo; Ejecutivo; y Judicial; organismos autónomos; partidos políticos; fideicomisos y fondos públicos; así como de cualquier persona física, moral o sindicato que reciba y ejerza recursos públicos o realice actos de autoridad en el ámbito estatal y municipal.</w:t>
      </w:r>
    </w:p>
    <w:p w:rsidR="006E30D6" w:rsidRPr="005E4104" w:rsidRDefault="006E30D6" w:rsidP="006E30D6">
      <w:pPr>
        <w:pStyle w:val="Default"/>
        <w:jc w:val="both"/>
        <w:rPr>
          <w:rFonts w:eastAsia="Arial Unicode MS"/>
          <w:color w:val="2E74B5" w:themeColor="accent1" w:themeShade="BF"/>
          <w:sz w:val="14"/>
          <w:szCs w:val="14"/>
        </w:rPr>
      </w:pPr>
    </w:p>
  </w:footnote>
  <w:footnote w:id="5">
    <w:p w:rsidR="007C6626" w:rsidRPr="005C3B04" w:rsidRDefault="007C6626" w:rsidP="007C6626">
      <w:pPr>
        <w:pStyle w:val="corte4fondo"/>
        <w:spacing w:line="240" w:lineRule="auto"/>
        <w:ind w:firstLine="0"/>
        <w:rPr>
          <w:color w:val="2E74B5" w:themeColor="accent1" w:themeShade="BF"/>
          <w:sz w:val="16"/>
          <w:szCs w:val="16"/>
        </w:rPr>
      </w:pPr>
      <w:r w:rsidRPr="005C3B04">
        <w:rPr>
          <w:rStyle w:val="Refdenotaalpie"/>
          <w:color w:val="2E74B5" w:themeColor="accent1" w:themeShade="BF"/>
          <w:sz w:val="16"/>
          <w:szCs w:val="16"/>
        </w:rPr>
        <w:footnoteRef/>
      </w:r>
      <w:r w:rsidRPr="005C3B04">
        <w:rPr>
          <w:color w:val="2E74B5" w:themeColor="accent1" w:themeShade="BF"/>
          <w:sz w:val="16"/>
          <w:szCs w:val="16"/>
        </w:rPr>
        <w:t xml:space="preserve"> </w:t>
      </w:r>
      <w:r w:rsidRPr="005C3B04">
        <w:rPr>
          <w:b/>
          <w:bCs/>
          <w:color w:val="2E74B5" w:themeColor="accent1" w:themeShade="BF"/>
          <w:sz w:val="16"/>
          <w:szCs w:val="16"/>
        </w:rPr>
        <w:t xml:space="preserve">ARTICULO 164. </w:t>
      </w:r>
      <w:r w:rsidRPr="005C3B04">
        <w:rPr>
          <w:color w:val="2E74B5" w:themeColor="accent1" w:themeShade="BF"/>
          <w:sz w:val="16"/>
          <w:szCs w:val="16"/>
        </w:rPr>
        <w:t>Si transcurridos diez días de presentada la solicitud de información, la unidad de transparencia no respondiere al interesado, se aplicará el principio de afirmativa ficta, y la autoridad estará obligada a entregar la información de manera gratuita, en un plazo máximo de diez días; salvo cuando se trate de información reservada o confidencial.</w:t>
      </w:r>
    </w:p>
    <w:p w:rsidR="007C6626" w:rsidRPr="005C3B04" w:rsidRDefault="007C6626" w:rsidP="007C6626">
      <w:pPr>
        <w:pStyle w:val="corte4fondo"/>
        <w:spacing w:line="240" w:lineRule="auto"/>
        <w:ind w:firstLine="0"/>
        <w:rPr>
          <w:rFonts w:cs="Arial"/>
          <w:color w:val="2E74B5" w:themeColor="accent1" w:themeShade="BF"/>
          <w:sz w:val="16"/>
          <w:szCs w:val="16"/>
        </w:rPr>
      </w:pPr>
      <w:r w:rsidRPr="005C3B04">
        <w:rPr>
          <w:rFonts w:cs="Arial"/>
          <w:b/>
          <w:color w:val="2E74B5" w:themeColor="accent1" w:themeShade="BF"/>
          <w:sz w:val="16"/>
          <w:szCs w:val="16"/>
        </w:rPr>
        <w:t>ARTÍCULO 165</w:t>
      </w:r>
      <w:r w:rsidRPr="005C3B04">
        <w:rPr>
          <w:rFonts w:cs="Arial"/>
          <w:color w:val="2E74B5" w:themeColor="accent1" w:themeShade="BF"/>
          <w:sz w:val="16"/>
          <w:szCs w:val="16"/>
        </w:rPr>
        <w:t xml:space="preserve">. En caso de existir costos para obtener la información, deberán cubrirse de manera previa a la entrega y no podrán ser superiores a la suma de: </w:t>
      </w:r>
      <w:r w:rsidRPr="005C3B04">
        <w:rPr>
          <w:rFonts w:cs="Arial"/>
          <w:b/>
          <w:color w:val="2E74B5" w:themeColor="accent1" w:themeShade="BF"/>
          <w:sz w:val="16"/>
          <w:szCs w:val="16"/>
        </w:rPr>
        <w:t>I.</w:t>
      </w:r>
      <w:r w:rsidRPr="005C3B04">
        <w:rPr>
          <w:rFonts w:cs="Arial"/>
          <w:color w:val="2E74B5" w:themeColor="accent1" w:themeShade="BF"/>
          <w:sz w:val="16"/>
          <w:szCs w:val="16"/>
        </w:rPr>
        <w:t xml:space="preserve"> El costo de los materiales utilizados en la reproducción de la información; </w:t>
      </w:r>
      <w:r w:rsidRPr="005C3B04">
        <w:rPr>
          <w:rFonts w:cs="Arial"/>
          <w:b/>
          <w:color w:val="2E74B5" w:themeColor="accent1" w:themeShade="BF"/>
          <w:sz w:val="16"/>
          <w:szCs w:val="16"/>
        </w:rPr>
        <w:t>II.</w:t>
      </w:r>
      <w:r w:rsidRPr="005C3B04">
        <w:rPr>
          <w:rFonts w:cs="Arial"/>
          <w:color w:val="2E74B5" w:themeColor="accent1" w:themeShade="BF"/>
          <w:sz w:val="16"/>
          <w:szCs w:val="16"/>
        </w:rPr>
        <w:t xml:space="preserve"> El costo de envío, en su caso, y </w:t>
      </w:r>
      <w:r w:rsidRPr="005C3B04">
        <w:rPr>
          <w:rFonts w:cs="Arial"/>
          <w:b/>
          <w:color w:val="2E74B5" w:themeColor="accent1" w:themeShade="BF"/>
          <w:sz w:val="16"/>
          <w:szCs w:val="16"/>
        </w:rPr>
        <w:t>III.</w:t>
      </w:r>
      <w:r w:rsidRPr="005C3B04">
        <w:rPr>
          <w:rFonts w:cs="Arial"/>
          <w:color w:val="2E74B5" w:themeColor="accent1" w:themeShade="BF"/>
          <w:sz w:val="16"/>
          <w:szCs w:val="16"/>
        </w:rPr>
        <w:t xml:space="preserve"> El pago de la certificación de los Documentos, cuando proceda. - Tratándose de la reproducción en medios magnéticos, si el solicitante aporta el medio en el que será almacenada la información, la reproducción será totalmente gratuita. - Los sujetos obligados llevarán a cabo la reproducción y/o envío de la información solicitada, previo pago de los derechos correspondientes. - La información deberá ser entregada sin costo, cuando implique la entrega de no más de veinte hojas simples. Las unidades de transparencia podrán exceptuar el pago de reproducción y envío atendiendo a las circunstancias socioeconómicas del solicitante. - Ante la falta de respuesta a una solicitud en el plazo previsto y en caso de que proceda el acceso, los costos de reproducción y envío correrán a cargo del sujeto obligado. - Las cuotas de los derechos a que se refiere el artículo 62 de esta Ley, se publicarán en los sitios de Internet de los sujetos obligados. En su determinación se deberá considerar que los montos permitan o faciliten el ejercicio del derecho de acceso a la información, asimismo se establecerá la obligación de fijar una cuenta bancaria única y exclusivamente para que el solicitante realice el pago íntegro del costo de la información que solicitó.</w:t>
      </w:r>
    </w:p>
  </w:footnote>
  <w:footnote w:id="6">
    <w:p w:rsidR="007C6626" w:rsidRPr="00D84CEA" w:rsidRDefault="007C6626" w:rsidP="007C6626">
      <w:pPr>
        <w:pStyle w:val="Default"/>
        <w:spacing w:line="276" w:lineRule="auto"/>
        <w:jc w:val="both"/>
        <w:rPr>
          <w:color w:val="2E74B5" w:themeColor="accent1" w:themeShade="BF"/>
          <w:sz w:val="14"/>
          <w:szCs w:val="14"/>
        </w:rPr>
      </w:pPr>
      <w:r w:rsidRPr="00D84CEA">
        <w:rPr>
          <w:rStyle w:val="Refdenotaalpie"/>
          <w:color w:val="2E74B5" w:themeColor="accent1" w:themeShade="BF"/>
          <w:sz w:val="14"/>
          <w:szCs w:val="14"/>
        </w:rPr>
        <w:footnoteRef/>
      </w:r>
      <w:r w:rsidRPr="00D84CEA">
        <w:rPr>
          <w:color w:val="2E74B5" w:themeColor="accent1" w:themeShade="BF"/>
          <w:sz w:val="14"/>
          <w:szCs w:val="14"/>
        </w:rPr>
        <w:t xml:space="preserve"> </w:t>
      </w:r>
      <w:r w:rsidRPr="00D84CEA">
        <w:rPr>
          <w:b/>
          <w:bCs/>
          <w:color w:val="2E74B5" w:themeColor="accent1" w:themeShade="BF"/>
          <w:sz w:val="14"/>
          <w:szCs w:val="14"/>
        </w:rPr>
        <w:t xml:space="preserve">ARTÍCULO 148. </w:t>
      </w:r>
      <w:r w:rsidRPr="00D84CEA">
        <w:rPr>
          <w:color w:val="2E74B5" w:themeColor="accent1" w:themeShade="BF"/>
          <w:sz w:val="14"/>
          <w:szCs w:val="14"/>
        </w:rPr>
        <w:t>Los términos de todas las notificaciones previstas en esta Ley, empezarán a correr al día siguiente al que se practiquen. - Cuando los plazos fijados por esta Ley sean en días, éstos se entenderán como hábiles.</w:t>
      </w:r>
    </w:p>
    <w:p w:rsidR="007C6626" w:rsidRPr="00D84CEA" w:rsidRDefault="007C6626" w:rsidP="007C6626">
      <w:pPr>
        <w:pStyle w:val="Textonotapie"/>
        <w:jc w:val="both"/>
        <w:rPr>
          <w:rFonts w:ascii="Arial" w:hAnsi="Arial" w:cs="Arial"/>
          <w:color w:val="2E74B5" w:themeColor="accent1" w:themeShade="BF"/>
          <w:sz w:val="14"/>
          <w:szCs w:val="14"/>
        </w:rPr>
      </w:pPr>
      <w:r w:rsidRPr="00D84CEA">
        <w:rPr>
          <w:rFonts w:ascii="Arial" w:hAnsi="Arial" w:cs="Arial"/>
          <w:b/>
          <w:bCs/>
          <w:color w:val="2E74B5" w:themeColor="accent1" w:themeShade="BF"/>
          <w:sz w:val="14"/>
          <w:szCs w:val="14"/>
        </w:rPr>
        <w:t xml:space="preserve">ARTÍCULO 154. </w:t>
      </w:r>
      <w:r w:rsidRPr="00D84CEA">
        <w:rPr>
          <w:rFonts w:ascii="Arial" w:hAnsi="Arial" w:cs="Arial"/>
          <w:color w:val="2E74B5" w:themeColor="accent1" w:themeShade="BF"/>
          <w:sz w:val="14"/>
          <w:szCs w:val="14"/>
        </w:rPr>
        <w:t>La respuesta a la solicitud deberá ser notificada al interesado en el menor tiempo posible, que no podrá exceder de diez días, contados a partir del día siguiente a la presentación de aquélla. 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 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p>
  </w:footnote>
  <w:footnote w:id="7">
    <w:p w:rsidR="006E30D6" w:rsidRPr="00A4764C" w:rsidRDefault="006E30D6" w:rsidP="006E30D6">
      <w:pPr>
        <w:pStyle w:val="Textonotapie"/>
        <w:spacing w:after="0" w:line="240" w:lineRule="auto"/>
        <w:jc w:val="both"/>
        <w:rPr>
          <w:rFonts w:ascii="Arial" w:hAnsi="Arial" w:cs="Arial"/>
          <w:color w:val="2E74B5" w:themeColor="accent1" w:themeShade="BF"/>
          <w:sz w:val="14"/>
          <w:szCs w:val="14"/>
        </w:rPr>
      </w:pPr>
      <w:r w:rsidRPr="00A4764C">
        <w:rPr>
          <w:rStyle w:val="Refdenotaalpie"/>
          <w:rFonts w:ascii="Arial" w:hAnsi="Arial" w:cs="Arial"/>
          <w:color w:val="2E74B5" w:themeColor="accent1" w:themeShade="BF"/>
          <w:sz w:val="14"/>
          <w:szCs w:val="14"/>
        </w:rPr>
        <w:footnoteRef/>
      </w:r>
      <w:r w:rsidRPr="00A4764C">
        <w:rPr>
          <w:rFonts w:ascii="Arial" w:hAnsi="Arial" w:cs="Arial"/>
          <w:color w:val="2E74B5" w:themeColor="accent1" w:themeShade="BF"/>
          <w:sz w:val="14"/>
          <w:szCs w:val="14"/>
        </w:rPr>
        <w:t xml:space="preserve"> </w:t>
      </w:r>
      <w:r w:rsidRPr="00A4764C">
        <w:rPr>
          <w:rFonts w:ascii="Arial" w:hAnsi="Arial" w:cs="Arial"/>
          <w:b/>
          <w:bCs/>
          <w:color w:val="2E74B5" w:themeColor="accent1" w:themeShade="BF"/>
          <w:sz w:val="14"/>
          <w:szCs w:val="14"/>
        </w:rPr>
        <w:t xml:space="preserve">ARTICULO 7. </w:t>
      </w:r>
      <w:r w:rsidRPr="00A4764C">
        <w:rPr>
          <w:rFonts w:ascii="Arial" w:hAnsi="Arial" w:cs="Arial"/>
          <w:color w:val="2E74B5" w:themeColor="accent1" w:themeShade="BF"/>
          <w:sz w:val="14"/>
          <w:szCs w:val="14"/>
        </w:rPr>
        <w:t xml:space="preserve">El derecho de acceso a la información o la clasificación de la información se interpretarán bajo los principios establecidos en la Constitución Política de los Estados Unidos Mexicanos; los tratados internacionales de los que el Estado mexicano sea parte; y la presente Ley. 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 Para el caso de la interpretación, se podrá tomar en cuenta los criterios, determinaciones y opiniones de los organismos nacionales e internacionales, en materia de transparencia. Las disposiciones que regulen aspectos de transparencia y acceso a la información previstas en la legislación Estatal en su conjunto, deberán interpretarse armónicamente con la Ley General, atendiendo al principio </w:t>
      </w:r>
      <w:proofErr w:type="spellStart"/>
      <w:r w:rsidRPr="00A4764C">
        <w:rPr>
          <w:rFonts w:ascii="Arial" w:hAnsi="Arial" w:cs="Arial"/>
          <w:color w:val="2E74B5" w:themeColor="accent1" w:themeShade="BF"/>
          <w:sz w:val="14"/>
          <w:szCs w:val="14"/>
        </w:rPr>
        <w:t>pro</w:t>
      </w:r>
      <w:proofErr w:type="spellEnd"/>
      <w:r w:rsidRPr="00A4764C">
        <w:rPr>
          <w:rFonts w:ascii="Arial" w:hAnsi="Arial" w:cs="Arial"/>
          <w:color w:val="2E74B5" w:themeColor="accent1" w:themeShade="BF"/>
          <w:sz w:val="14"/>
          <w:szCs w:val="14"/>
        </w:rPr>
        <w:t xml:space="preserve"> persona.</w:t>
      </w:r>
    </w:p>
  </w:footnote>
  <w:footnote w:id="8">
    <w:p w:rsidR="006E30D6" w:rsidRPr="00A4764C" w:rsidRDefault="006E30D6" w:rsidP="006E30D6">
      <w:pPr>
        <w:pStyle w:val="corte4fondo"/>
        <w:spacing w:line="240" w:lineRule="auto"/>
        <w:ind w:firstLine="1"/>
        <w:rPr>
          <w:color w:val="2E74B5" w:themeColor="accent1" w:themeShade="BF"/>
          <w:sz w:val="14"/>
          <w:szCs w:val="14"/>
        </w:rPr>
      </w:pPr>
      <w:r w:rsidRPr="00A4764C">
        <w:rPr>
          <w:rStyle w:val="Refdenotaalpie"/>
          <w:color w:val="2E74B5" w:themeColor="accent1" w:themeShade="BF"/>
          <w:sz w:val="14"/>
          <w:szCs w:val="14"/>
        </w:rPr>
        <w:footnoteRef/>
      </w:r>
      <w:r w:rsidRPr="00A4764C">
        <w:rPr>
          <w:color w:val="2E74B5" w:themeColor="accent1" w:themeShade="BF"/>
          <w:sz w:val="14"/>
          <w:szCs w:val="14"/>
        </w:rPr>
        <w:t xml:space="preserve"> </w:t>
      </w:r>
      <w:r w:rsidRPr="00A4764C">
        <w:rPr>
          <w:b/>
          <w:bCs/>
          <w:color w:val="2E74B5" w:themeColor="accent1" w:themeShade="BF"/>
          <w:sz w:val="14"/>
          <w:szCs w:val="14"/>
        </w:rPr>
        <w:t xml:space="preserve">ARTÍCULO 22. </w:t>
      </w:r>
      <w:r w:rsidRPr="00A4764C">
        <w:rPr>
          <w:color w:val="2E74B5" w:themeColor="accent1" w:themeShade="BF"/>
          <w:sz w:val="14"/>
          <w:szCs w:val="14"/>
        </w:rPr>
        <w:t>En el procedimiento de acceso, entrega y publicación de la información se propiciarán las condiciones necesarias para que ésta sea accesible a cualquier persona.</w:t>
      </w:r>
    </w:p>
    <w:p w:rsidR="006E30D6" w:rsidRPr="00A4764C" w:rsidRDefault="006E30D6" w:rsidP="006E30D6">
      <w:pPr>
        <w:pStyle w:val="corte4fondo"/>
        <w:spacing w:line="240" w:lineRule="auto"/>
        <w:ind w:firstLine="1"/>
        <w:rPr>
          <w:color w:val="2E74B5" w:themeColor="accent1" w:themeShade="BF"/>
          <w:sz w:val="14"/>
          <w:szCs w:val="14"/>
        </w:rPr>
      </w:pPr>
      <w:r w:rsidRPr="00A4764C">
        <w:rPr>
          <w:b/>
          <w:bCs/>
          <w:color w:val="2E74B5" w:themeColor="accent1" w:themeShade="BF"/>
          <w:sz w:val="14"/>
          <w:szCs w:val="14"/>
        </w:rPr>
        <w:t xml:space="preserve">ARTÍCULO 62. </w:t>
      </w:r>
      <w:r w:rsidRPr="00A4764C">
        <w:rPr>
          <w:color w:val="2E74B5" w:themeColor="accent1" w:themeShade="BF"/>
          <w:sz w:val="14"/>
          <w:szCs w:val="14"/>
        </w:rPr>
        <w:t xml:space="preserve">Los sujetos obligados deberán atender al principio de máxima publicidad, permitiendo que la información pública se difunda en medios electrónicos que facilite su reproducción directa por el interesado o solicitante. En los demás casos, respetando el principio de gratuidad, los sujetos obligados observarán las cuotas que se fijen en sus respectivas Leyes de Ingresos por su reproducción. </w:t>
      </w:r>
    </w:p>
    <w:p w:rsidR="006E30D6" w:rsidRPr="00A4764C" w:rsidRDefault="006E30D6" w:rsidP="006E30D6">
      <w:pPr>
        <w:pStyle w:val="corte4fondo"/>
        <w:spacing w:line="240" w:lineRule="auto"/>
        <w:ind w:firstLine="1"/>
        <w:rPr>
          <w:color w:val="2E74B5" w:themeColor="accent1" w:themeShade="BF"/>
          <w:sz w:val="14"/>
          <w:szCs w:val="14"/>
        </w:rPr>
      </w:pPr>
      <w:r w:rsidRPr="00A4764C">
        <w:rPr>
          <w:color w:val="2E74B5" w:themeColor="accent1" w:themeShade="BF"/>
          <w:sz w:val="14"/>
          <w:szCs w:val="14"/>
        </w:rPr>
        <w:t>Los sujetos obligados que por su naturaleza jurídica no cuenten con Ley de Ingresos, deberá remitirse a la Ley de Ingresos del Estado o Municipios, según corresponda.</w:t>
      </w:r>
    </w:p>
    <w:p w:rsidR="006E30D6" w:rsidRPr="0001212F" w:rsidRDefault="006E30D6" w:rsidP="006E30D6">
      <w:pPr>
        <w:pStyle w:val="corte4fondo"/>
        <w:spacing w:line="240" w:lineRule="auto"/>
        <w:ind w:firstLine="1"/>
        <w:rPr>
          <w:sz w:val="16"/>
          <w:szCs w:val="16"/>
        </w:rPr>
      </w:pPr>
      <w:r w:rsidRPr="00A4764C">
        <w:rPr>
          <w:b/>
          <w:bCs/>
          <w:color w:val="2E74B5" w:themeColor="accent1" w:themeShade="BF"/>
          <w:sz w:val="14"/>
          <w:szCs w:val="14"/>
        </w:rPr>
        <w:t xml:space="preserve">ARTÍCULO 165. </w:t>
      </w:r>
      <w:r w:rsidRPr="00A4764C">
        <w:rPr>
          <w:color w:val="2E74B5" w:themeColor="accent1" w:themeShade="BF"/>
          <w:sz w:val="14"/>
          <w:szCs w:val="14"/>
        </w:rPr>
        <w:t xml:space="preserve">En caso de existir costos para obtener la información, deberán cubrirse de manera previa a la entrega y no podrán ser superiores a la suma de: </w:t>
      </w:r>
      <w:r w:rsidRPr="00A4764C">
        <w:rPr>
          <w:bCs/>
          <w:color w:val="2E74B5" w:themeColor="accent1" w:themeShade="BF"/>
          <w:sz w:val="14"/>
          <w:szCs w:val="14"/>
        </w:rPr>
        <w:t>[…]</w:t>
      </w:r>
      <w:r w:rsidRPr="00A4764C">
        <w:rPr>
          <w:color w:val="2E74B5" w:themeColor="accent1" w:themeShade="BF"/>
          <w:sz w:val="14"/>
          <w:szCs w:val="14"/>
        </w:rPr>
        <w:t xml:space="preserve"> La información deberá ser entregada sin costo, cuando implique la entrega de no más de veinte hojas simples. Las unidades de transparencia podrán exceptuar el pago de reproducción y envío atendiendo a las circunstancias socioeconómicas del solicitante…</w:t>
      </w:r>
      <w:r w:rsidRPr="00B31364">
        <w:rPr>
          <w:sz w:val="16"/>
          <w:szCs w:val="16"/>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D06" w:rsidRPr="008850DE" w:rsidRDefault="00335782" w:rsidP="000E7C87">
    <w:pPr>
      <w:pStyle w:val="Encabezado"/>
      <w:tabs>
        <w:tab w:val="left" w:pos="3969"/>
      </w:tabs>
      <w:jc w:val="right"/>
      <w:rPr>
        <w:rFonts w:ascii="Arial" w:hAnsi="Arial" w:cs="Arial"/>
        <w:sz w:val="16"/>
        <w:szCs w:val="16"/>
      </w:rPr>
    </w:pPr>
    <w:r w:rsidRPr="00F23CCE">
      <w:rPr>
        <w:rFonts w:ascii="Arial" w:hAnsi="Arial" w:cs="Arial"/>
      </w:rPr>
      <w:t xml:space="preserve">                        </w:t>
    </w:r>
    <w:r>
      <w:rPr>
        <w:rFonts w:ascii="Arial" w:hAnsi="Arial" w:cs="Arial"/>
      </w:rPr>
      <w:t xml:space="preserve">                            </w:t>
    </w:r>
    <w:r w:rsidRPr="00F23CCE">
      <w:rPr>
        <w:rFonts w:ascii="Arial" w:hAnsi="Arial" w:cs="Arial"/>
      </w:rPr>
      <w:fldChar w:fldCharType="begin"/>
    </w:r>
    <w:r w:rsidRPr="00F23CCE">
      <w:rPr>
        <w:rFonts w:ascii="Arial" w:hAnsi="Arial" w:cs="Arial"/>
      </w:rPr>
      <w:instrText xml:space="preserve"> PAGE   \* MERGEFORMAT </w:instrText>
    </w:r>
    <w:r w:rsidRPr="00F23CCE">
      <w:rPr>
        <w:rFonts w:ascii="Arial" w:hAnsi="Arial" w:cs="Arial"/>
      </w:rPr>
      <w:fldChar w:fldCharType="separate"/>
    </w:r>
    <w:r w:rsidR="008A04A4">
      <w:rPr>
        <w:rFonts w:ascii="Arial" w:hAnsi="Arial" w:cs="Arial"/>
        <w:noProof/>
      </w:rPr>
      <w:t>19</w:t>
    </w:r>
    <w:r w:rsidRPr="00F23CCE">
      <w:rPr>
        <w:rFonts w:ascii="Arial" w:hAnsi="Arial" w:cs="Arial"/>
      </w:rPr>
      <w:fldChar w:fldCharType="end"/>
    </w:r>
    <w:r>
      <w:rPr>
        <w:rFonts w:ascii="Arial" w:hAnsi="Arial" w:cs="Arial"/>
      </w:rPr>
      <w:t xml:space="preserve">                          </w:t>
    </w:r>
    <w:r w:rsidRPr="008F5D9C">
      <w:rPr>
        <w:rFonts w:ascii="Arial" w:hAnsi="Arial" w:cs="Arial"/>
        <w:b/>
        <w:color w:val="2E74B5" w:themeColor="accent1" w:themeShade="BF"/>
        <w:sz w:val="16"/>
        <w:szCs w:val="16"/>
      </w:rPr>
      <w:t xml:space="preserve">RECURSO DE REVISIÓN  </w:t>
    </w:r>
    <w:r w:rsidR="00AD7736">
      <w:rPr>
        <w:rFonts w:ascii="Arial" w:hAnsi="Arial" w:cs="Arial"/>
        <w:b/>
        <w:color w:val="2E74B5" w:themeColor="accent1" w:themeShade="BF"/>
        <w:sz w:val="16"/>
        <w:szCs w:val="16"/>
      </w:rPr>
      <w:t>749</w:t>
    </w:r>
    <w:r w:rsidRPr="008F5D9C">
      <w:rPr>
        <w:rFonts w:ascii="Arial" w:hAnsi="Arial" w:cs="Arial"/>
        <w:b/>
        <w:color w:val="2E74B5" w:themeColor="accent1" w:themeShade="BF"/>
        <w:sz w:val="16"/>
        <w:szCs w:val="16"/>
      </w:rPr>
      <w:t>/2018-2</w:t>
    </w:r>
  </w:p>
  <w:p w:rsidR="002D4D06" w:rsidRDefault="004F7B40">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15:restartNumberingAfterBreak="0">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AB77619"/>
    <w:multiLevelType w:val="hybridMultilevel"/>
    <w:tmpl w:val="CA8AABFE"/>
    <w:lvl w:ilvl="0" w:tplc="080A0001">
      <w:start w:val="1"/>
      <w:numFmt w:val="bullet"/>
      <w:lvlText w:val=""/>
      <w:lvlJc w:val="left"/>
      <w:pPr>
        <w:ind w:left="2149" w:hanging="360"/>
      </w:pPr>
      <w:rPr>
        <w:rFonts w:ascii="Symbol" w:hAnsi="Symbol" w:hint="default"/>
      </w:rPr>
    </w:lvl>
    <w:lvl w:ilvl="1" w:tplc="080A0003" w:tentative="1">
      <w:start w:val="1"/>
      <w:numFmt w:val="bullet"/>
      <w:lvlText w:val="o"/>
      <w:lvlJc w:val="left"/>
      <w:pPr>
        <w:ind w:left="2869" w:hanging="360"/>
      </w:pPr>
      <w:rPr>
        <w:rFonts w:ascii="Courier New" w:hAnsi="Courier New" w:cs="Courier New" w:hint="default"/>
      </w:rPr>
    </w:lvl>
    <w:lvl w:ilvl="2" w:tplc="080A0005" w:tentative="1">
      <w:start w:val="1"/>
      <w:numFmt w:val="bullet"/>
      <w:lvlText w:val=""/>
      <w:lvlJc w:val="left"/>
      <w:pPr>
        <w:ind w:left="3589" w:hanging="360"/>
      </w:pPr>
      <w:rPr>
        <w:rFonts w:ascii="Wingdings" w:hAnsi="Wingdings" w:hint="default"/>
      </w:rPr>
    </w:lvl>
    <w:lvl w:ilvl="3" w:tplc="080A0001" w:tentative="1">
      <w:start w:val="1"/>
      <w:numFmt w:val="bullet"/>
      <w:lvlText w:val=""/>
      <w:lvlJc w:val="left"/>
      <w:pPr>
        <w:ind w:left="4309" w:hanging="360"/>
      </w:pPr>
      <w:rPr>
        <w:rFonts w:ascii="Symbol" w:hAnsi="Symbol" w:hint="default"/>
      </w:rPr>
    </w:lvl>
    <w:lvl w:ilvl="4" w:tplc="080A0003" w:tentative="1">
      <w:start w:val="1"/>
      <w:numFmt w:val="bullet"/>
      <w:lvlText w:val="o"/>
      <w:lvlJc w:val="left"/>
      <w:pPr>
        <w:ind w:left="5029" w:hanging="360"/>
      </w:pPr>
      <w:rPr>
        <w:rFonts w:ascii="Courier New" w:hAnsi="Courier New" w:cs="Courier New" w:hint="default"/>
      </w:rPr>
    </w:lvl>
    <w:lvl w:ilvl="5" w:tplc="080A0005" w:tentative="1">
      <w:start w:val="1"/>
      <w:numFmt w:val="bullet"/>
      <w:lvlText w:val=""/>
      <w:lvlJc w:val="left"/>
      <w:pPr>
        <w:ind w:left="5749" w:hanging="360"/>
      </w:pPr>
      <w:rPr>
        <w:rFonts w:ascii="Wingdings" w:hAnsi="Wingdings" w:hint="default"/>
      </w:rPr>
    </w:lvl>
    <w:lvl w:ilvl="6" w:tplc="080A0001" w:tentative="1">
      <w:start w:val="1"/>
      <w:numFmt w:val="bullet"/>
      <w:lvlText w:val=""/>
      <w:lvlJc w:val="left"/>
      <w:pPr>
        <w:ind w:left="6469" w:hanging="360"/>
      </w:pPr>
      <w:rPr>
        <w:rFonts w:ascii="Symbol" w:hAnsi="Symbol" w:hint="default"/>
      </w:rPr>
    </w:lvl>
    <w:lvl w:ilvl="7" w:tplc="080A0003" w:tentative="1">
      <w:start w:val="1"/>
      <w:numFmt w:val="bullet"/>
      <w:lvlText w:val="o"/>
      <w:lvlJc w:val="left"/>
      <w:pPr>
        <w:ind w:left="7189" w:hanging="360"/>
      </w:pPr>
      <w:rPr>
        <w:rFonts w:ascii="Courier New" w:hAnsi="Courier New" w:cs="Courier New" w:hint="default"/>
      </w:rPr>
    </w:lvl>
    <w:lvl w:ilvl="8" w:tplc="080A0005" w:tentative="1">
      <w:start w:val="1"/>
      <w:numFmt w:val="bullet"/>
      <w:lvlText w:val=""/>
      <w:lvlJc w:val="left"/>
      <w:pPr>
        <w:ind w:left="7909" w:hanging="360"/>
      </w:pPr>
      <w:rPr>
        <w:rFonts w:ascii="Wingdings" w:hAnsi="Wingdings" w:hint="default"/>
      </w:rPr>
    </w:lvl>
  </w:abstractNum>
  <w:abstractNum w:abstractNumId="3"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6559581D"/>
    <w:multiLevelType w:val="hybridMultilevel"/>
    <w:tmpl w:val="B21A169C"/>
    <w:lvl w:ilvl="0" w:tplc="080A0013">
      <w:start w:val="1"/>
      <w:numFmt w:val="upperRoman"/>
      <w:lvlText w:val="%1."/>
      <w:lvlJc w:val="righ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6" w15:restartNumberingAfterBreak="0">
    <w:nsid w:val="6B7531BC"/>
    <w:multiLevelType w:val="hybridMultilevel"/>
    <w:tmpl w:val="8F820C36"/>
    <w:lvl w:ilvl="0" w:tplc="080A0001">
      <w:start w:val="1"/>
      <w:numFmt w:val="bullet"/>
      <w:lvlText w:val=""/>
      <w:lvlJc w:val="left"/>
      <w:pPr>
        <w:ind w:left="1494" w:hanging="360"/>
      </w:pPr>
      <w:rPr>
        <w:rFonts w:ascii="Symbol" w:hAnsi="Symbol" w:hint="default"/>
      </w:rPr>
    </w:lvl>
    <w:lvl w:ilvl="1" w:tplc="080A0003" w:tentative="1">
      <w:start w:val="1"/>
      <w:numFmt w:val="bullet"/>
      <w:lvlText w:val="o"/>
      <w:lvlJc w:val="left"/>
      <w:pPr>
        <w:ind w:left="2214" w:hanging="360"/>
      </w:pPr>
      <w:rPr>
        <w:rFonts w:ascii="Courier New" w:hAnsi="Courier New" w:cs="Courier New" w:hint="default"/>
      </w:rPr>
    </w:lvl>
    <w:lvl w:ilvl="2" w:tplc="080A0005" w:tentative="1">
      <w:start w:val="1"/>
      <w:numFmt w:val="bullet"/>
      <w:lvlText w:val=""/>
      <w:lvlJc w:val="left"/>
      <w:pPr>
        <w:ind w:left="2934" w:hanging="360"/>
      </w:pPr>
      <w:rPr>
        <w:rFonts w:ascii="Wingdings" w:hAnsi="Wingdings" w:hint="default"/>
      </w:rPr>
    </w:lvl>
    <w:lvl w:ilvl="3" w:tplc="080A0001" w:tentative="1">
      <w:start w:val="1"/>
      <w:numFmt w:val="bullet"/>
      <w:lvlText w:val=""/>
      <w:lvlJc w:val="left"/>
      <w:pPr>
        <w:ind w:left="3654" w:hanging="360"/>
      </w:pPr>
      <w:rPr>
        <w:rFonts w:ascii="Symbol" w:hAnsi="Symbol" w:hint="default"/>
      </w:rPr>
    </w:lvl>
    <w:lvl w:ilvl="4" w:tplc="080A0003" w:tentative="1">
      <w:start w:val="1"/>
      <w:numFmt w:val="bullet"/>
      <w:lvlText w:val="o"/>
      <w:lvlJc w:val="left"/>
      <w:pPr>
        <w:ind w:left="4374" w:hanging="360"/>
      </w:pPr>
      <w:rPr>
        <w:rFonts w:ascii="Courier New" w:hAnsi="Courier New" w:cs="Courier New" w:hint="default"/>
      </w:rPr>
    </w:lvl>
    <w:lvl w:ilvl="5" w:tplc="080A0005" w:tentative="1">
      <w:start w:val="1"/>
      <w:numFmt w:val="bullet"/>
      <w:lvlText w:val=""/>
      <w:lvlJc w:val="left"/>
      <w:pPr>
        <w:ind w:left="5094" w:hanging="360"/>
      </w:pPr>
      <w:rPr>
        <w:rFonts w:ascii="Wingdings" w:hAnsi="Wingdings" w:hint="default"/>
      </w:rPr>
    </w:lvl>
    <w:lvl w:ilvl="6" w:tplc="080A0001" w:tentative="1">
      <w:start w:val="1"/>
      <w:numFmt w:val="bullet"/>
      <w:lvlText w:val=""/>
      <w:lvlJc w:val="left"/>
      <w:pPr>
        <w:ind w:left="5814" w:hanging="360"/>
      </w:pPr>
      <w:rPr>
        <w:rFonts w:ascii="Symbol" w:hAnsi="Symbol" w:hint="default"/>
      </w:rPr>
    </w:lvl>
    <w:lvl w:ilvl="7" w:tplc="080A0003" w:tentative="1">
      <w:start w:val="1"/>
      <w:numFmt w:val="bullet"/>
      <w:lvlText w:val="o"/>
      <w:lvlJc w:val="left"/>
      <w:pPr>
        <w:ind w:left="6534" w:hanging="360"/>
      </w:pPr>
      <w:rPr>
        <w:rFonts w:ascii="Courier New" w:hAnsi="Courier New" w:cs="Courier New" w:hint="default"/>
      </w:rPr>
    </w:lvl>
    <w:lvl w:ilvl="8" w:tplc="080A0005" w:tentative="1">
      <w:start w:val="1"/>
      <w:numFmt w:val="bullet"/>
      <w:lvlText w:val=""/>
      <w:lvlJc w:val="left"/>
      <w:pPr>
        <w:ind w:left="7254" w:hanging="360"/>
      </w:pPr>
      <w:rPr>
        <w:rFonts w:ascii="Wingdings" w:hAnsi="Wingdings" w:hint="default"/>
      </w:rPr>
    </w:lvl>
  </w:abstractNum>
  <w:abstractNum w:abstractNumId="7"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7"/>
  </w:num>
  <w:num w:numId="4">
    <w:abstractNumId w:val="0"/>
  </w:num>
  <w:num w:numId="5">
    <w:abstractNumId w:val="1"/>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0D6"/>
    <w:rsid w:val="000217F7"/>
    <w:rsid w:val="000418BE"/>
    <w:rsid w:val="0006295A"/>
    <w:rsid w:val="000A557D"/>
    <w:rsid w:val="000B5D95"/>
    <w:rsid w:val="00115A23"/>
    <w:rsid w:val="00123E81"/>
    <w:rsid w:val="001C3CFD"/>
    <w:rsid w:val="00233104"/>
    <w:rsid w:val="0025554A"/>
    <w:rsid w:val="0028181B"/>
    <w:rsid w:val="00335782"/>
    <w:rsid w:val="003950FC"/>
    <w:rsid w:val="00401B06"/>
    <w:rsid w:val="00424FBD"/>
    <w:rsid w:val="00425ABE"/>
    <w:rsid w:val="00465EC0"/>
    <w:rsid w:val="004727EA"/>
    <w:rsid w:val="00482D8B"/>
    <w:rsid w:val="004A4991"/>
    <w:rsid w:val="004A6578"/>
    <w:rsid w:val="004F7B40"/>
    <w:rsid w:val="0052415F"/>
    <w:rsid w:val="00587A24"/>
    <w:rsid w:val="00651FC0"/>
    <w:rsid w:val="006E30D6"/>
    <w:rsid w:val="007A6882"/>
    <w:rsid w:val="007C6626"/>
    <w:rsid w:val="00833CD9"/>
    <w:rsid w:val="008A04A4"/>
    <w:rsid w:val="00995B21"/>
    <w:rsid w:val="009A21BA"/>
    <w:rsid w:val="009E7A45"/>
    <w:rsid w:val="00A378A9"/>
    <w:rsid w:val="00A970DF"/>
    <w:rsid w:val="00AB6A5E"/>
    <w:rsid w:val="00AD7736"/>
    <w:rsid w:val="00B30688"/>
    <w:rsid w:val="00BF3DF4"/>
    <w:rsid w:val="00CA00E7"/>
    <w:rsid w:val="00D811F3"/>
    <w:rsid w:val="00D942BA"/>
    <w:rsid w:val="00E020E8"/>
    <w:rsid w:val="00E52F7E"/>
    <w:rsid w:val="00E6656F"/>
    <w:rsid w:val="00FA0AB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863C0"/>
  <w15:chartTrackingRefBased/>
  <w15:docId w15:val="{71DBDEDC-E2F6-4EB8-9DAF-21A27E012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30D6"/>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1datos">
    <w:name w:val="corte1 datos"/>
    <w:basedOn w:val="Normal"/>
    <w:link w:val="corte1datosCar"/>
    <w:qFormat/>
    <w:rsid w:val="006E30D6"/>
    <w:pPr>
      <w:spacing w:after="0" w:line="240" w:lineRule="auto"/>
      <w:ind w:left="2552"/>
    </w:pPr>
    <w:rPr>
      <w:rFonts w:ascii="Arial" w:eastAsia="Times New Roman" w:hAnsi="Arial"/>
      <w:b/>
      <w:caps/>
      <w:sz w:val="30"/>
      <w:szCs w:val="20"/>
      <w:lang w:eastAsia="es-MX"/>
    </w:rPr>
  </w:style>
  <w:style w:type="paragraph" w:customStyle="1" w:styleId="corte2ponente">
    <w:name w:val="corte2 ponente"/>
    <w:basedOn w:val="Normal"/>
    <w:link w:val="corte2ponenteCar"/>
    <w:uiPriority w:val="99"/>
    <w:rsid w:val="006E30D6"/>
    <w:pPr>
      <w:spacing w:after="0" w:line="240" w:lineRule="auto"/>
    </w:pPr>
    <w:rPr>
      <w:rFonts w:ascii="Arial" w:eastAsia="Times New Roman" w:hAnsi="Arial"/>
      <w:b/>
      <w:caps/>
      <w:sz w:val="30"/>
      <w:szCs w:val="20"/>
      <w:lang w:eastAsia="es-MX"/>
    </w:rPr>
  </w:style>
  <w:style w:type="paragraph" w:customStyle="1" w:styleId="corte4fondo">
    <w:name w:val="corte4 fondo"/>
    <w:basedOn w:val="Normal"/>
    <w:link w:val="corte4fondoCar1"/>
    <w:qFormat/>
    <w:rsid w:val="006E30D6"/>
    <w:pPr>
      <w:spacing w:after="0" w:line="360" w:lineRule="auto"/>
      <w:ind w:firstLine="709"/>
      <w:jc w:val="both"/>
    </w:pPr>
    <w:rPr>
      <w:rFonts w:ascii="Arial" w:eastAsia="Times New Roman" w:hAnsi="Arial"/>
      <w:sz w:val="30"/>
      <w:szCs w:val="20"/>
      <w:lang w:eastAsia="es-MX"/>
    </w:rPr>
  </w:style>
  <w:style w:type="character" w:customStyle="1" w:styleId="corte2ponenteCar">
    <w:name w:val="corte2 ponente Car"/>
    <w:link w:val="corte2ponente"/>
    <w:uiPriority w:val="99"/>
    <w:rsid w:val="006E30D6"/>
    <w:rPr>
      <w:rFonts w:ascii="Arial" w:eastAsia="Times New Roman" w:hAnsi="Arial" w:cs="Times New Roman"/>
      <w:b/>
      <w:caps/>
      <w:sz w:val="30"/>
      <w:szCs w:val="20"/>
      <w:lang w:eastAsia="es-MX"/>
    </w:rPr>
  </w:style>
  <w:style w:type="character" w:customStyle="1" w:styleId="corte4fondoCar1">
    <w:name w:val="corte4 fondo Car1"/>
    <w:link w:val="corte4fondo"/>
    <w:rsid w:val="006E30D6"/>
    <w:rPr>
      <w:rFonts w:ascii="Arial" w:eastAsia="Times New Roman" w:hAnsi="Arial" w:cs="Times New Roman"/>
      <w:sz w:val="30"/>
      <w:szCs w:val="20"/>
      <w:lang w:eastAsia="es-MX"/>
    </w:rPr>
  </w:style>
  <w:style w:type="character" w:customStyle="1" w:styleId="corte1datosCar">
    <w:name w:val="corte1 datos Car"/>
    <w:link w:val="corte1datos"/>
    <w:rsid w:val="006E30D6"/>
    <w:rPr>
      <w:rFonts w:ascii="Arial" w:eastAsia="Times New Roman" w:hAnsi="Arial" w:cs="Times New Roman"/>
      <w:b/>
      <w:caps/>
      <w:sz w:val="30"/>
      <w:szCs w:val="20"/>
      <w:lang w:eastAsia="es-MX"/>
    </w:rPr>
  </w:style>
  <w:style w:type="paragraph" w:styleId="Encabezado">
    <w:name w:val="header"/>
    <w:basedOn w:val="Normal"/>
    <w:link w:val="EncabezadoCar"/>
    <w:unhideWhenUsed/>
    <w:rsid w:val="006E30D6"/>
    <w:pPr>
      <w:tabs>
        <w:tab w:val="center" w:pos="4419"/>
        <w:tab w:val="right" w:pos="8838"/>
      </w:tabs>
      <w:spacing w:after="0" w:line="240" w:lineRule="auto"/>
    </w:pPr>
  </w:style>
  <w:style w:type="character" w:customStyle="1" w:styleId="EncabezadoCar">
    <w:name w:val="Encabezado Car"/>
    <w:basedOn w:val="Fuentedeprrafopredeter"/>
    <w:link w:val="Encabezado"/>
    <w:rsid w:val="006E30D6"/>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Footnote symbol"/>
    <w:basedOn w:val="Fuentedeprrafopredeter"/>
    <w:uiPriority w:val="99"/>
    <w:unhideWhenUsed/>
    <w:rsid w:val="006E30D6"/>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6E30D6"/>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6E30D6"/>
    <w:rPr>
      <w:rFonts w:ascii="Calibri" w:eastAsia="Calibri" w:hAnsi="Calibri" w:cs="Times New Roman"/>
      <w:sz w:val="20"/>
      <w:szCs w:val="20"/>
    </w:rPr>
  </w:style>
  <w:style w:type="paragraph" w:styleId="NormalWeb">
    <w:name w:val="Normal (Web)"/>
    <w:basedOn w:val="Normal"/>
    <w:uiPriority w:val="99"/>
    <w:rsid w:val="006E30D6"/>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Default">
    <w:name w:val="Default"/>
    <w:rsid w:val="006E30D6"/>
    <w:pPr>
      <w:autoSpaceDE w:val="0"/>
      <w:autoSpaceDN w:val="0"/>
      <w:adjustRightInd w:val="0"/>
      <w:spacing w:after="0" w:line="240" w:lineRule="auto"/>
    </w:pPr>
    <w:rPr>
      <w:rFonts w:ascii="Arial" w:eastAsia="Calibri" w:hAnsi="Arial" w:cs="Arial"/>
      <w:color w:val="000000"/>
      <w:sz w:val="24"/>
      <w:szCs w:val="24"/>
      <w:lang w:eastAsia="es-MX"/>
    </w:rPr>
  </w:style>
  <w:style w:type="paragraph" w:styleId="Prrafodelista">
    <w:name w:val="List Paragraph"/>
    <w:basedOn w:val="Normal"/>
    <w:link w:val="PrrafodelistaCar"/>
    <w:qFormat/>
    <w:rsid w:val="006E30D6"/>
    <w:pPr>
      <w:spacing w:after="0" w:line="360" w:lineRule="auto"/>
      <w:ind w:left="720"/>
      <w:contextualSpacing/>
      <w:jc w:val="both"/>
    </w:pPr>
    <w:rPr>
      <w:rFonts w:eastAsia="Times New Roman"/>
      <w:sz w:val="26"/>
      <w:szCs w:val="24"/>
      <w:lang w:val="es-ES" w:eastAsia="es-ES"/>
    </w:rPr>
  </w:style>
  <w:style w:type="character" w:customStyle="1" w:styleId="PrrafodelistaCar">
    <w:name w:val="Párrafo de lista Car"/>
    <w:link w:val="Prrafodelista"/>
    <w:locked/>
    <w:rsid w:val="006E30D6"/>
    <w:rPr>
      <w:rFonts w:ascii="Calibri" w:eastAsia="Times New Roman" w:hAnsi="Calibri" w:cs="Times New Roman"/>
      <w:sz w:val="26"/>
      <w:szCs w:val="24"/>
      <w:lang w:val="es-ES" w:eastAsia="es-ES"/>
    </w:rPr>
  </w:style>
  <w:style w:type="paragraph" w:styleId="Piedepgina">
    <w:name w:val="footer"/>
    <w:basedOn w:val="Normal"/>
    <w:link w:val="PiedepginaCar"/>
    <w:uiPriority w:val="99"/>
    <w:unhideWhenUsed/>
    <w:rsid w:val="00AD773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D7736"/>
    <w:rPr>
      <w:rFonts w:ascii="Calibri" w:eastAsia="Calibri" w:hAnsi="Calibri" w:cs="Times New Roman"/>
    </w:rPr>
  </w:style>
  <w:style w:type="table" w:styleId="Tablaconcuadrcula">
    <w:name w:val="Table Grid"/>
    <w:basedOn w:val="Tablanormal"/>
    <w:uiPriority w:val="39"/>
    <w:rsid w:val="00CA00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300</TotalTime>
  <Pages>1</Pages>
  <Words>6783</Words>
  <Characters>37312</Characters>
  <Application>Microsoft Office Word</Application>
  <DocSecurity>0</DocSecurity>
  <Lines>310</Lines>
  <Paragraphs>88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13</cp:revision>
  <dcterms:created xsi:type="dcterms:W3CDTF">2018-11-30T19:34:00Z</dcterms:created>
  <dcterms:modified xsi:type="dcterms:W3CDTF">2019-01-10T18:44:00Z</dcterms:modified>
</cp:coreProperties>
</file>