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061E97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30427304" wp14:editId="00431BCD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1E97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67C3B6A0">
            <wp:extent cx="1556657" cy="762000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77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0010B0" w:rsidRPr="000010B0" w:rsidRDefault="000010B0" w:rsidP="000010B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 w:rsidRPr="000010B0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No se genera tal información ya que es generada por SINAICA a través de la SEGAM, de acuerdo a los lineamientos de la norma 156-SEMARNAT-2012</w:t>
      </w:r>
      <w:r w:rsidR="00640A5C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</w:p>
    <w:p w:rsidR="00906BF1" w:rsidRPr="000010B0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r w:rsidR="00A056D8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010B0"/>
    <w:rsid w:val="00061E97"/>
    <w:rsid w:val="000675DD"/>
    <w:rsid w:val="0061485E"/>
    <w:rsid w:val="00640A5C"/>
    <w:rsid w:val="00906BF1"/>
    <w:rsid w:val="00A056D8"/>
    <w:rsid w:val="00E1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D71FCB-3039-4D4B-BA1F-959C975C0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1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1E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5</cp:revision>
  <dcterms:created xsi:type="dcterms:W3CDTF">2018-11-12T16:44:00Z</dcterms:created>
  <dcterms:modified xsi:type="dcterms:W3CDTF">2019-02-05T15:34:00Z</dcterms:modified>
</cp:coreProperties>
</file>