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FA6" w:rsidRPr="00222FA6" w:rsidRDefault="00222FA6" w:rsidP="00222FA6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222FA6">
        <w:rPr>
          <w:rFonts w:ascii="Arial" w:eastAsia="Times New Roman" w:hAnsi="Arial" w:cs="Arial"/>
          <w:lang w:eastAsia="es-MX"/>
        </w:rPr>
        <w:t>Articulo 26</w:t>
      </w:r>
      <w:r>
        <w:rPr>
          <w:rFonts w:ascii="Arial" w:eastAsia="Times New Roman" w:hAnsi="Arial" w:cs="Arial"/>
          <w:lang w:eastAsia="es-MX"/>
        </w:rPr>
        <w:t>.-</w:t>
      </w:r>
      <w:bookmarkStart w:id="0" w:name="_GoBack"/>
      <w:bookmarkEnd w:id="0"/>
      <w:r w:rsidRPr="00222FA6">
        <w:rPr>
          <w:rFonts w:ascii="Arial" w:eastAsia="Times New Roman" w:hAnsi="Arial" w:cs="Arial"/>
          <w:lang w:eastAsia="es-MX"/>
        </w:rPr>
        <w:t>Elaborar demandas y amparos laborales en conjunto con la Secretaria General, llevar padrón de los asuntos contenciosos laborales de los agremiados. Vigilar las listas de acuerdos en los Tribunales Laborales, todas las inherentes a su cargo.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FA6"/>
    <w:rsid w:val="00035475"/>
    <w:rsid w:val="00061EAE"/>
    <w:rsid w:val="00103DA8"/>
    <w:rsid w:val="001237F5"/>
    <w:rsid w:val="00222FA6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621C15-8E4A-48F9-9214-14083B3BD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2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2018-07-17T02:40:00Z</dcterms:created>
  <dcterms:modified xsi:type="dcterms:W3CDTF">2018-07-17T02:41:00Z</dcterms:modified>
</cp:coreProperties>
</file>