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7D7A" w:rsidRPr="00AD7D7A" w:rsidRDefault="00944696" w:rsidP="00AD7D7A">
      <w:pPr>
        <w:spacing w:after="0"/>
        <w:ind w:left="3969"/>
        <w:jc w:val="both"/>
        <w:rPr>
          <w:rFonts w:ascii="Arial Narrow" w:eastAsia="Calibri" w:hAnsi="Arial Narrow" w:cs="Times New Roman"/>
          <w:b/>
          <w:sz w:val="20"/>
          <w:szCs w:val="20"/>
          <w:lang w:val="es-MX"/>
        </w:rPr>
      </w:pPr>
      <w:r>
        <w:rPr>
          <w:rFonts w:ascii="Arial Narrow" w:eastAsia="Calibri" w:hAnsi="Arial Narrow" w:cs="Times New Roman"/>
          <w:b/>
          <w:color w:val="FF0000"/>
          <w:sz w:val="20"/>
          <w:szCs w:val="20"/>
          <w:lang w:val="es-MX"/>
        </w:rPr>
        <w:t>**********</w:t>
      </w:r>
      <w:r w:rsidR="00AD7D7A" w:rsidRPr="00AD7D7A">
        <w:rPr>
          <w:rFonts w:ascii="Arial Narrow" w:eastAsia="Calibri" w:hAnsi="Arial Narrow" w:cs="Times New Roman"/>
          <w:b/>
          <w:sz w:val="20"/>
          <w:szCs w:val="20"/>
          <w:lang w:val="es-MX"/>
        </w:rPr>
        <w:t>TRIBUNAL ESTATAL DE JUSTICIA ADMINISTRATIVA</w:t>
      </w:r>
    </w:p>
    <w:p w:rsidR="00AD7D7A" w:rsidRPr="00AD7D7A" w:rsidRDefault="00AD7D7A" w:rsidP="00AD7D7A">
      <w:pPr>
        <w:spacing w:after="0"/>
        <w:ind w:left="3969"/>
        <w:jc w:val="both"/>
        <w:rPr>
          <w:rFonts w:ascii="Arial Narrow" w:eastAsia="Calibri" w:hAnsi="Arial Narrow" w:cs="Times New Roman"/>
          <w:b/>
          <w:sz w:val="20"/>
          <w:szCs w:val="20"/>
          <w:lang w:val="es-MX"/>
        </w:rPr>
      </w:pPr>
    </w:p>
    <w:p w:rsidR="00AD7D7A" w:rsidRPr="00AD7D7A" w:rsidRDefault="00AD7D7A" w:rsidP="00AD7D7A">
      <w:pPr>
        <w:spacing w:after="0"/>
        <w:ind w:left="3969"/>
        <w:jc w:val="both"/>
        <w:rPr>
          <w:rFonts w:ascii="Arial Narrow" w:eastAsia="Calibri" w:hAnsi="Arial Narrow" w:cs="Times New Roman"/>
          <w:b/>
          <w:sz w:val="20"/>
          <w:szCs w:val="20"/>
          <w:lang w:val="es-MX"/>
        </w:rPr>
      </w:pPr>
      <w:r w:rsidRPr="00AD7D7A">
        <w:rPr>
          <w:rFonts w:ascii="Arial Narrow" w:eastAsia="Calibri" w:hAnsi="Arial Narrow" w:cs="Times New Roman"/>
          <w:b/>
          <w:sz w:val="20"/>
          <w:szCs w:val="20"/>
          <w:lang w:val="es-MX"/>
        </w:rPr>
        <w:t>TERCERA SALA UNITARIA</w:t>
      </w:r>
    </w:p>
    <w:p w:rsidR="00AD7D7A" w:rsidRPr="00AD7D7A" w:rsidRDefault="00AD7D7A" w:rsidP="00AD7D7A">
      <w:pPr>
        <w:spacing w:after="0"/>
        <w:ind w:left="3969"/>
        <w:rPr>
          <w:rFonts w:ascii="Arial Narrow" w:eastAsia="Calibri" w:hAnsi="Arial Narrow" w:cs="Times New Roman"/>
          <w:b/>
          <w:sz w:val="20"/>
          <w:szCs w:val="20"/>
          <w:lang w:val="es-MX"/>
        </w:rPr>
      </w:pPr>
    </w:p>
    <w:p w:rsidR="00AD7D7A" w:rsidRPr="00AD7D7A" w:rsidRDefault="00AD7D7A" w:rsidP="00AD7D7A">
      <w:pPr>
        <w:spacing w:after="0"/>
        <w:ind w:left="3969"/>
        <w:jc w:val="both"/>
        <w:rPr>
          <w:rFonts w:ascii="Arial Narrow" w:eastAsia="Calibri" w:hAnsi="Arial Narrow" w:cs="Times New Roman"/>
          <w:b/>
          <w:sz w:val="20"/>
          <w:szCs w:val="20"/>
          <w:lang w:val="es-MX"/>
        </w:rPr>
      </w:pPr>
      <w:r w:rsidRPr="00AD7D7A">
        <w:rPr>
          <w:rFonts w:ascii="Arial Narrow" w:eastAsia="Calibri" w:hAnsi="Arial Narrow" w:cs="Times New Roman"/>
          <w:b/>
          <w:sz w:val="20"/>
          <w:szCs w:val="20"/>
          <w:lang w:val="es-MX"/>
        </w:rPr>
        <w:t xml:space="preserve">EXPEDIENTE </w:t>
      </w:r>
      <w:r w:rsidR="00645FFC">
        <w:rPr>
          <w:rFonts w:ascii="Arial Narrow" w:eastAsia="Calibri" w:hAnsi="Arial Narrow" w:cs="Times New Roman"/>
          <w:b/>
          <w:sz w:val="20"/>
          <w:szCs w:val="20"/>
          <w:lang w:val="es-MX"/>
        </w:rPr>
        <w:t>235</w:t>
      </w:r>
      <w:r w:rsidRPr="00AD7D7A">
        <w:rPr>
          <w:rFonts w:ascii="Arial Narrow" w:eastAsia="Calibri" w:hAnsi="Arial Narrow" w:cs="Times New Roman"/>
          <w:b/>
          <w:sz w:val="20"/>
          <w:szCs w:val="20"/>
          <w:lang w:val="es-MX"/>
        </w:rPr>
        <w:t>/2018-3</w:t>
      </w:r>
    </w:p>
    <w:p w:rsidR="00AD7D7A" w:rsidRPr="00AD7D7A" w:rsidRDefault="00AD7D7A" w:rsidP="00AD7D7A">
      <w:pPr>
        <w:spacing w:after="0"/>
        <w:ind w:left="3969"/>
        <w:jc w:val="both"/>
        <w:rPr>
          <w:rFonts w:ascii="Arial Narrow" w:eastAsia="Calibri" w:hAnsi="Arial Narrow" w:cs="Times New Roman"/>
          <w:b/>
          <w:sz w:val="20"/>
          <w:szCs w:val="20"/>
          <w:lang w:val="es-MX"/>
        </w:rPr>
      </w:pPr>
    </w:p>
    <w:p w:rsidR="00AD7D7A" w:rsidRPr="00AD7D7A" w:rsidRDefault="00AD7D7A" w:rsidP="00AD7D7A">
      <w:pPr>
        <w:spacing w:after="0"/>
        <w:ind w:left="3969"/>
        <w:jc w:val="both"/>
        <w:rPr>
          <w:rFonts w:ascii="Arial Narrow" w:eastAsia="Calibri" w:hAnsi="Arial Narrow" w:cs="Times New Roman"/>
          <w:b/>
          <w:sz w:val="20"/>
          <w:szCs w:val="20"/>
          <w:lang w:val="es-MX"/>
        </w:rPr>
      </w:pPr>
      <w:r w:rsidRPr="00AD7D7A">
        <w:rPr>
          <w:rFonts w:ascii="Arial Narrow" w:eastAsia="Calibri" w:hAnsi="Arial Narrow" w:cs="Times New Roman"/>
          <w:b/>
          <w:sz w:val="20"/>
          <w:szCs w:val="20"/>
          <w:lang w:val="es-MX"/>
        </w:rPr>
        <w:t xml:space="preserve">PARTE ACTORA: </w:t>
      </w:r>
      <w:r w:rsidR="00944696">
        <w:rPr>
          <w:rFonts w:ascii="Arial Narrow" w:eastAsia="Calibri" w:hAnsi="Arial Narrow" w:cs="Times New Roman"/>
          <w:b/>
          <w:color w:val="FF0000"/>
          <w:sz w:val="20"/>
          <w:szCs w:val="20"/>
          <w:lang w:val="es-MX"/>
        </w:rPr>
        <w:t>**********</w:t>
      </w:r>
      <w:r w:rsidRPr="00AD7D7A">
        <w:rPr>
          <w:rFonts w:ascii="Arial Narrow" w:eastAsia="Calibri" w:hAnsi="Arial Narrow" w:cs="Times New Roman"/>
          <w:b/>
          <w:sz w:val="20"/>
          <w:szCs w:val="20"/>
          <w:lang w:val="es-MX"/>
        </w:rPr>
        <w:t>AUTORIDAD DEMANDADA:</w:t>
      </w:r>
    </w:p>
    <w:p w:rsidR="0061569C" w:rsidRDefault="0061569C" w:rsidP="00AD7D7A">
      <w:pPr>
        <w:spacing w:after="0"/>
        <w:ind w:left="3969"/>
        <w:jc w:val="both"/>
        <w:rPr>
          <w:rFonts w:ascii="Arial Narrow" w:eastAsia="Calibri" w:hAnsi="Arial Narrow" w:cs="Times New Roman"/>
          <w:sz w:val="20"/>
          <w:szCs w:val="20"/>
          <w:lang w:val="es-MX"/>
        </w:rPr>
      </w:pPr>
      <w:r>
        <w:rPr>
          <w:rFonts w:ascii="Arial Narrow" w:eastAsia="Calibri" w:hAnsi="Arial Narrow" w:cs="Times New Roman"/>
          <w:sz w:val="20"/>
          <w:szCs w:val="20"/>
          <w:lang w:val="es-MX"/>
        </w:rPr>
        <w:t>ORGANISMO INTERMUNICIPAL METROPOLITANO DE AGUA POTABLE, ALCANTARILLADO, SANEAMIENTO Y SERVICIOS CONEXOS DE LOS MUNICIPIOS DE CERRO DE SAN PEDRO, SAN LUIS POTOSI Y SOLEDAD DE GRACIANO SANCHEZ (INTERAPAS)</w:t>
      </w:r>
    </w:p>
    <w:p w:rsidR="00AD7D7A" w:rsidRPr="00AD7D7A" w:rsidRDefault="00AD7D7A" w:rsidP="00AD7D7A">
      <w:pPr>
        <w:spacing w:after="0"/>
        <w:ind w:left="3969"/>
        <w:jc w:val="both"/>
        <w:rPr>
          <w:rFonts w:ascii="Arial Narrow" w:eastAsia="Calibri" w:hAnsi="Arial Narrow" w:cs="Times New Roman"/>
          <w:sz w:val="20"/>
          <w:szCs w:val="20"/>
          <w:lang w:val="es-MX"/>
        </w:rPr>
      </w:pPr>
    </w:p>
    <w:p w:rsidR="00AD7D7A" w:rsidRPr="00AD7D7A" w:rsidRDefault="00AD7D7A" w:rsidP="00AD7D7A">
      <w:pPr>
        <w:spacing w:after="0"/>
        <w:ind w:left="3969"/>
        <w:jc w:val="both"/>
        <w:rPr>
          <w:rFonts w:ascii="Arial Narrow" w:eastAsia="Calibri" w:hAnsi="Arial Narrow" w:cs="Times New Roman"/>
          <w:b/>
          <w:sz w:val="20"/>
          <w:szCs w:val="20"/>
          <w:lang w:val="es-MX"/>
        </w:rPr>
      </w:pPr>
      <w:r w:rsidRPr="00AD7D7A">
        <w:rPr>
          <w:rFonts w:ascii="Arial Narrow" w:eastAsia="Calibri" w:hAnsi="Arial Narrow" w:cs="Times New Roman"/>
          <w:b/>
          <w:sz w:val="20"/>
          <w:szCs w:val="20"/>
          <w:lang w:val="es-MX"/>
        </w:rPr>
        <w:t>MAGISTRADO:</w:t>
      </w:r>
    </w:p>
    <w:p w:rsidR="00AD7D7A" w:rsidRPr="00AD7D7A" w:rsidRDefault="00AD7D7A" w:rsidP="00AD7D7A">
      <w:pPr>
        <w:spacing w:after="0"/>
        <w:ind w:left="3969"/>
        <w:jc w:val="both"/>
        <w:rPr>
          <w:rFonts w:ascii="Arial Narrow" w:eastAsia="Calibri" w:hAnsi="Arial Narrow" w:cs="Times New Roman"/>
          <w:sz w:val="20"/>
          <w:szCs w:val="20"/>
          <w:lang w:val="es-MX"/>
        </w:rPr>
      </w:pPr>
      <w:r w:rsidRPr="00AD7D7A">
        <w:rPr>
          <w:rFonts w:ascii="Arial Narrow" w:eastAsia="Calibri" w:hAnsi="Arial Narrow" w:cs="Times New Roman"/>
          <w:sz w:val="20"/>
          <w:szCs w:val="20"/>
          <w:lang w:val="es-MX"/>
        </w:rPr>
        <w:t>LICENCIADO DIEGO AMARO GONZÁLEZ</w:t>
      </w:r>
    </w:p>
    <w:p w:rsidR="00AD7D7A" w:rsidRPr="00AD7D7A" w:rsidRDefault="00AD7D7A" w:rsidP="00AD7D7A">
      <w:pPr>
        <w:spacing w:after="0"/>
        <w:ind w:left="3969"/>
        <w:jc w:val="both"/>
        <w:rPr>
          <w:rFonts w:ascii="Arial Narrow" w:eastAsia="Calibri" w:hAnsi="Arial Narrow" w:cs="Times New Roman"/>
          <w:sz w:val="20"/>
          <w:szCs w:val="20"/>
          <w:lang w:val="es-MX"/>
        </w:rPr>
      </w:pPr>
    </w:p>
    <w:p w:rsidR="00AD7D7A" w:rsidRPr="00AD7D7A" w:rsidRDefault="00AD7D7A" w:rsidP="00AD7D7A">
      <w:pPr>
        <w:spacing w:after="0"/>
        <w:ind w:left="3969"/>
        <w:jc w:val="both"/>
        <w:rPr>
          <w:rFonts w:ascii="Arial Narrow" w:eastAsia="Calibri" w:hAnsi="Arial Narrow" w:cs="Times New Roman"/>
          <w:b/>
          <w:sz w:val="20"/>
          <w:szCs w:val="20"/>
          <w:lang w:val="es-MX"/>
        </w:rPr>
      </w:pPr>
      <w:r w:rsidRPr="00AD7D7A">
        <w:rPr>
          <w:rFonts w:ascii="Arial Narrow" w:eastAsia="Calibri" w:hAnsi="Arial Narrow" w:cs="Times New Roman"/>
          <w:b/>
          <w:sz w:val="20"/>
          <w:szCs w:val="20"/>
          <w:lang w:val="es-MX"/>
        </w:rPr>
        <w:t>SECRETARIO DE ESTUDIO Y CUENTA:</w:t>
      </w:r>
    </w:p>
    <w:p w:rsidR="00AD7D7A" w:rsidRPr="00AD7D7A" w:rsidRDefault="00AD7D7A" w:rsidP="00AD7D7A">
      <w:pPr>
        <w:spacing w:after="0"/>
        <w:ind w:left="3969"/>
        <w:jc w:val="both"/>
        <w:rPr>
          <w:rFonts w:ascii="Arial Narrow" w:eastAsia="Calibri" w:hAnsi="Arial Narrow" w:cs="Times New Roman"/>
          <w:sz w:val="20"/>
          <w:szCs w:val="20"/>
          <w:lang w:val="es-MX"/>
        </w:rPr>
      </w:pPr>
      <w:r w:rsidRPr="00AD7D7A">
        <w:rPr>
          <w:rFonts w:ascii="Arial Narrow" w:eastAsia="Calibri" w:hAnsi="Arial Narrow" w:cs="Times New Roman"/>
          <w:sz w:val="20"/>
          <w:szCs w:val="20"/>
          <w:lang w:val="es-MX"/>
        </w:rPr>
        <w:t>LICENCIADA DIANA CAROLINA MONTELONGO ORTIZ</w:t>
      </w:r>
    </w:p>
    <w:p w:rsidR="00AD7D7A" w:rsidRPr="00AD7D7A" w:rsidRDefault="00AD7D7A" w:rsidP="00AD7D7A">
      <w:pPr>
        <w:tabs>
          <w:tab w:val="left" w:pos="567"/>
          <w:tab w:val="left" w:pos="5103"/>
          <w:tab w:val="left" w:pos="6804"/>
        </w:tabs>
        <w:spacing w:after="0"/>
        <w:ind w:left="4253"/>
        <w:rPr>
          <w:rFonts w:ascii="Arial Narrow" w:eastAsia="Arial Unicode MS" w:hAnsi="Arial Narrow" w:cs="Arial"/>
          <w:b/>
          <w:sz w:val="28"/>
          <w:szCs w:val="28"/>
          <w:lang w:val="es-MX"/>
        </w:rPr>
      </w:pPr>
    </w:p>
    <w:p w:rsidR="00AD7D7A" w:rsidRPr="00AD7D7A" w:rsidRDefault="00AD7D7A" w:rsidP="00AD7D7A">
      <w:pPr>
        <w:keepNext/>
        <w:spacing w:after="0"/>
        <w:jc w:val="both"/>
        <w:outlineLvl w:val="1"/>
        <w:rPr>
          <w:rFonts w:ascii="Arial" w:eastAsia="Calibri" w:hAnsi="Arial" w:cs="Arial"/>
          <w:sz w:val="24"/>
          <w:szCs w:val="24"/>
          <w:lang w:val="es-MX"/>
        </w:rPr>
      </w:pPr>
      <w:r w:rsidRPr="00AD7D7A">
        <w:rPr>
          <w:rFonts w:ascii="Arial" w:eastAsia="Calibri" w:hAnsi="Arial" w:cs="Arial"/>
          <w:sz w:val="24"/>
          <w:szCs w:val="24"/>
          <w:lang w:val="es-MX"/>
        </w:rPr>
        <w:t xml:space="preserve">          San Luis Potosí, S.L.P., a </w:t>
      </w:r>
      <w:r w:rsidR="0061569C">
        <w:rPr>
          <w:rFonts w:ascii="Arial" w:eastAsia="Calibri" w:hAnsi="Arial" w:cs="Arial"/>
          <w:sz w:val="24"/>
          <w:szCs w:val="24"/>
          <w:lang w:val="es-MX"/>
        </w:rPr>
        <w:t>once de enero de dos mil diecinueve</w:t>
      </w:r>
      <w:r w:rsidRPr="00AD7D7A">
        <w:rPr>
          <w:rFonts w:ascii="Arial" w:eastAsia="Calibri" w:hAnsi="Arial" w:cs="Arial"/>
          <w:sz w:val="24"/>
          <w:szCs w:val="24"/>
          <w:lang w:val="es-MX"/>
        </w:rPr>
        <w:t xml:space="preserve">.    </w:t>
      </w:r>
    </w:p>
    <w:p w:rsidR="00AD7D7A" w:rsidRPr="00AD7D7A" w:rsidRDefault="00AD7D7A" w:rsidP="00AD7D7A">
      <w:pPr>
        <w:spacing w:after="0"/>
        <w:rPr>
          <w:rFonts w:ascii="Arial" w:eastAsia="Calibri" w:hAnsi="Arial" w:cs="Arial"/>
          <w:sz w:val="24"/>
          <w:szCs w:val="24"/>
          <w:lang w:val="es-MX"/>
        </w:rPr>
      </w:pPr>
    </w:p>
    <w:p w:rsidR="00AD7D7A" w:rsidRPr="00AD7D7A" w:rsidRDefault="00AD7D7A" w:rsidP="00AD7D7A">
      <w:pPr>
        <w:keepNext/>
        <w:spacing w:after="0" w:line="360" w:lineRule="auto"/>
        <w:ind w:firstLine="709"/>
        <w:jc w:val="both"/>
        <w:outlineLvl w:val="1"/>
        <w:rPr>
          <w:rFonts w:ascii="Arial Narrow" w:eastAsia="Calibri" w:hAnsi="Arial Narrow" w:cs="Arial"/>
          <w:sz w:val="28"/>
          <w:szCs w:val="28"/>
          <w:lang w:val="es-MX"/>
        </w:rPr>
      </w:pPr>
      <w:r w:rsidRPr="00AD7D7A">
        <w:rPr>
          <w:rFonts w:ascii="Arial" w:eastAsia="Calibri" w:hAnsi="Arial" w:cs="Arial"/>
          <w:b/>
          <w:sz w:val="24"/>
          <w:szCs w:val="24"/>
          <w:lang w:val="es-MX"/>
        </w:rPr>
        <w:t xml:space="preserve">V I S T O S </w:t>
      </w:r>
      <w:r w:rsidRPr="00AD7D7A">
        <w:rPr>
          <w:rFonts w:ascii="Arial" w:eastAsia="Calibri" w:hAnsi="Arial" w:cs="Arial"/>
          <w:sz w:val="24"/>
          <w:szCs w:val="24"/>
          <w:lang w:val="es-MX"/>
        </w:rPr>
        <w:t xml:space="preserve">para resolver en definitiva los autos del juicio contencioso administrativo número </w:t>
      </w:r>
      <w:r w:rsidR="0061569C" w:rsidRPr="0061569C">
        <w:rPr>
          <w:rFonts w:ascii="Arial" w:eastAsia="Calibri" w:hAnsi="Arial" w:cs="Arial"/>
          <w:b/>
          <w:sz w:val="24"/>
          <w:szCs w:val="24"/>
          <w:lang w:val="es-MX"/>
        </w:rPr>
        <w:t>235</w:t>
      </w:r>
      <w:r w:rsidRPr="00AD7D7A">
        <w:rPr>
          <w:rFonts w:ascii="Arial" w:eastAsia="Calibri" w:hAnsi="Arial" w:cs="Arial"/>
          <w:b/>
          <w:sz w:val="24"/>
          <w:szCs w:val="24"/>
          <w:lang w:val="es-MX"/>
        </w:rPr>
        <w:t xml:space="preserve">/2018-3, </w:t>
      </w:r>
      <w:r w:rsidRPr="00AD7D7A">
        <w:rPr>
          <w:rFonts w:ascii="Arial" w:eastAsia="Calibri" w:hAnsi="Arial" w:cs="Arial"/>
          <w:sz w:val="24"/>
          <w:szCs w:val="24"/>
          <w:lang w:val="es-MX"/>
        </w:rPr>
        <w:t xml:space="preserve">promovido por </w:t>
      </w:r>
      <w:r w:rsidR="0061569C">
        <w:rPr>
          <w:rFonts w:ascii="Arial" w:eastAsia="Calibri" w:hAnsi="Arial" w:cs="Arial"/>
          <w:sz w:val="24"/>
          <w:szCs w:val="24"/>
          <w:lang w:val="es-MX"/>
        </w:rPr>
        <w:t xml:space="preserve">la persona moral denominada </w:t>
      </w:r>
      <w:r w:rsidR="00944696">
        <w:rPr>
          <w:rFonts w:ascii="Arial" w:eastAsia="Calibri" w:hAnsi="Arial" w:cs="Arial"/>
          <w:b/>
          <w:color w:val="FF0000"/>
          <w:sz w:val="24"/>
          <w:szCs w:val="24"/>
          <w:lang w:val="es-MX"/>
        </w:rPr>
        <w:t>**********</w:t>
      </w:r>
      <w:r w:rsidR="0061569C">
        <w:rPr>
          <w:rFonts w:ascii="Arial" w:eastAsia="Calibri" w:hAnsi="Arial" w:cs="Arial"/>
          <w:sz w:val="24"/>
          <w:szCs w:val="24"/>
          <w:lang w:val="es-MX"/>
        </w:rPr>
        <w:t>,</w:t>
      </w:r>
      <w:r w:rsidR="0061569C">
        <w:rPr>
          <w:rFonts w:ascii="Arial" w:eastAsia="Calibri" w:hAnsi="Arial" w:cs="Arial"/>
          <w:color w:val="000000" w:themeColor="text1"/>
          <w:sz w:val="24"/>
          <w:szCs w:val="24"/>
          <w:lang w:val="es-MX"/>
        </w:rPr>
        <w:t xml:space="preserve"> </w:t>
      </w:r>
      <w:r w:rsidRPr="00AD7D7A">
        <w:rPr>
          <w:rFonts w:ascii="Arial" w:eastAsia="Calibri" w:hAnsi="Arial" w:cs="Arial"/>
          <w:sz w:val="24"/>
          <w:szCs w:val="24"/>
          <w:lang w:val="es-MX"/>
        </w:rPr>
        <w:t xml:space="preserve">contra actos de la </w:t>
      </w:r>
      <w:r w:rsidR="0061569C" w:rsidRPr="0061569C">
        <w:rPr>
          <w:rFonts w:ascii="Arial" w:eastAsia="Calibri" w:hAnsi="Arial" w:cs="Arial"/>
          <w:b/>
          <w:sz w:val="24"/>
          <w:szCs w:val="24"/>
          <w:lang w:val="es-MX"/>
        </w:rPr>
        <w:t>DIRECTORA DE COMERCIALIZACION y TITULAR DEL ORGANISMO INTERMUNICIPAL METROPOLITANO DE AGUA POTABLE, ALCANTARILLADO, SANEAMIENTO Y SERVICIOS CONEXOS DE LOS MUNICIPIOS DE CERRO DE SAN PEDRO, SAN LUIS POTOSI Y SOLEDAD DE GRACIANO SANCHEZ (INTERAPAS)</w:t>
      </w:r>
      <w:r w:rsidRPr="00AD7D7A">
        <w:rPr>
          <w:rFonts w:ascii="Arial" w:eastAsia="Calibri" w:hAnsi="Arial" w:cs="Arial"/>
          <w:b/>
          <w:sz w:val="24"/>
          <w:szCs w:val="24"/>
          <w:lang w:val="es-MX"/>
        </w:rPr>
        <w:t xml:space="preserve">; </w:t>
      </w:r>
      <w:r w:rsidRPr="00AD7D7A">
        <w:rPr>
          <w:rFonts w:ascii="Arial" w:eastAsia="Calibri" w:hAnsi="Arial" w:cs="Arial"/>
          <w:sz w:val="24"/>
          <w:szCs w:val="24"/>
          <w:lang w:val="es-MX"/>
        </w:rPr>
        <w:t>y</w:t>
      </w:r>
      <w:r w:rsidRPr="00AD7D7A">
        <w:rPr>
          <w:rFonts w:ascii="Arial Narrow" w:eastAsia="Calibri" w:hAnsi="Arial Narrow" w:cs="Arial"/>
          <w:sz w:val="28"/>
          <w:szCs w:val="28"/>
          <w:lang w:val="es-MX"/>
        </w:rPr>
        <w:t>,</w:t>
      </w:r>
    </w:p>
    <w:p w:rsidR="00EB2542" w:rsidRDefault="00EB2542" w:rsidP="00AD7D7A">
      <w:pPr>
        <w:keepNext/>
        <w:tabs>
          <w:tab w:val="left" w:pos="851"/>
          <w:tab w:val="left" w:pos="8389"/>
        </w:tabs>
        <w:spacing w:after="0" w:line="360" w:lineRule="auto"/>
        <w:jc w:val="center"/>
        <w:outlineLvl w:val="2"/>
        <w:rPr>
          <w:rFonts w:ascii="Arial" w:eastAsia="Calibri" w:hAnsi="Arial" w:cs="Arial"/>
          <w:b/>
          <w:sz w:val="24"/>
          <w:szCs w:val="24"/>
          <w:lang w:val="es-MX"/>
        </w:rPr>
      </w:pPr>
    </w:p>
    <w:p w:rsidR="00AD7D7A" w:rsidRPr="00AD7D7A" w:rsidRDefault="00AD7D7A" w:rsidP="00AD7D7A">
      <w:pPr>
        <w:keepNext/>
        <w:tabs>
          <w:tab w:val="left" w:pos="851"/>
          <w:tab w:val="left" w:pos="8389"/>
        </w:tabs>
        <w:spacing w:after="0" w:line="360" w:lineRule="auto"/>
        <w:jc w:val="center"/>
        <w:outlineLvl w:val="2"/>
        <w:rPr>
          <w:rFonts w:ascii="Arial" w:eastAsia="Calibri" w:hAnsi="Arial" w:cs="Arial"/>
          <w:b/>
          <w:sz w:val="24"/>
          <w:szCs w:val="24"/>
          <w:lang w:val="es-MX"/>
        </w:rPr>
      </w:pPr>
      <w:r w:rsidRPr="00AD7D7A">
        <w:rPr>
          <w:rFonts w:ascii="Arial" w:eastAsia="Calibri" w:hAnsi="Arial" w:cs="Arial"/>
          <w:b/>
          <w:sz w:val="24"/>
          <w:szCs w:val="24"/>
          <w:lang w:val="es-MX"/>
        </w:rPr>
        <w:t>R E S U L T A N D O</w:t>
      </w:r>
    </w:p>
    <w:p w:rsidR="00AD7D7A" w:rsidRPr="002119DF" w:rsidRDefault="00AD7D7A" w:rsidP="00AD7D7A">
      <w:pPr>
        <w:keepNext/>
        <w:tabs>
          <w:tab w:val="left" w:pos="851"/>
          <w:tab w:val="left" w:pos="8389"/>
        </w:tabs>
        <w:spacing w:after="0" w:line="360" w:lineRule="auto"/>
        <w:jc w:val="center"/>
        <w:outlineLvl w:val="2"/>
        <w:rPr>
          <w:rFonts w:ascii="Arial" w:eastAsia="Calibri" w:hAnsi="Arial" w:cs="Arial"/>
          <w:b/>
          <w:sz w:val="16"/>
          <w:szCs w:val="16"/>
          <w:lang w:val="es-MX"/>
        </w:rPr>
      </w:pPr>
    </w:p>
    <w:p w:rsidR="00AD7D7A" w:rsidRPr="00AD7D7A" w:rsidRDefault="00AD7D7A" w:rsidP="00AD7D7A">
      <w:pPr>
        <w:spacing w:line="360" w:lineRule="auto"/>
        <w:jc w:val="both"/>
        <w:rPr>
          <w:rFonts w:ascii="Arial" w:eastAsia="Times New Roman" w:hAnsi="Arial" w:cs="Arial"/>
          <w:sz w:val="24"/>
          <w:szCs w:val="24"/>
          <w:lang w:eastAsia="es-ES"/>
        </w:rPr>
      </w:pPr>
      <w:r w:rsidRPr="00AD7D7A">
        <w:rPr>
          <w:rFonts w:ascii="Arial" w:eastAsia="Calibri" w:hAnsi="Arial" w:cs="Arial"/>
          <w:sz w:val="24"/>
          <w:szCs w:val="24"/>
          <w:lang w:val="es-MX"/>
        </w:rPr>
        <w:t xml:space="preserve"> </w:t>
      </w:r>
      <w:r w:rsidRPr="00AD7D7A">
        <w:rPr>
          <w:rFonts w:ascii="Arial" w:eastAsia="Calibri" w:hAnsi="Arial" w:cs="Arial"/>
          <w:sz w:val="24"/>
          <w:szCs w:val="24"/>
          <w:lang w:val="es-MX"/>
        </w:rPr>
        <w:tab/>
      </w:r>
      <w:r w:rsidRPr="00AD7D7A">
        <w:rPr>
          <w:rFonts w:ascii="Arial" w:eastAsia="Times New Roman" w:hAnsi="Arial" w:cs="Arial"/>
          <w:b/>
          <w:sz w:val="24"/>
          <w:szCs w:val="24"/>
          <w:lang w:eastAsia="es-ES"/>
        </w:rPr>
        <w:t xml:space="preserve">I.- </w:t>
      </w:r>
      <w:r w:rsidRPr="00AD7D7A">
        <w:rPr>
          <w:rFonts w:ascii="Arial" w:eastAsia="Times New Roman" w:hAnsi="Arial" w:cs="Arial"/>
          <w:sz w:val="24"/>
          <w:szCs w:val="24"/>
          <w:lang w:eastAsia="es-ES"/>
        </w:rPr>
        <w:t xml:space="preserve">Con fecha </w:t>
      </w:r>
      <w:r w:rsidR="0061569C">
        <w:rPr>
          <w:rFonts w:ascii="Arial" w:eastAsia="Times New Roman" w:hAnsi="Arial" w:cs="Arial"/>
          <w:sz w:val="24"/>
          <w:szCs w:val="24"/>
          <w:lang w:eastAsia="es-ES"/>
        </w:rPr>
        <w:t xml:space="preserve">ocho de marzo de dos mil dieciocho, compareció el C. </w:t>
      </w:r>
      <w:r w:rsidR="00944696">
        <w:rPr>
          <w:rFonts w:ascii="Arial" w:eastAsia="Times New Roman" w:hAnsi="Arial" w:cs="Arial"/>
          <w:color w:val="FF0000"/>
          <w:sz w:val="24"/>
          <w:szCs w:val="24"/>
          <w:lang w:eastAsia="es-ES"/>
        </w:rPr>
        <w:t>**********</w:t>
      </w:r>
      <w:r w:rsidR="0061569C">
        <w:rPr>
          <w:rFonts w:ascii="Arial" w:eastAsia="Times New Roman" w:hAnsi="Arial" w:cs="Arial"/>
          <w:sz w:val="24"/>
          <w:szCs w:val="24"/>
          <w:lang w:eastAsia="es-ES"/>
        </w:rPr>
        <w:t xml:space="preserve">, en su carácter de Apoderado Legal de la persona moral denominada </w:t>
      </w:r>
      <w:r w:rsidR="00944696">
        <w:rPr>
          <w:rFonts w:ascii="Arial" w:eastAsia="Times New Roman" w:hAnsi="Arial" w:cs="Arial"/>
          <w:color w:val="FF0000"/>
          <w:sz w:val="24"/>
          <w:szCs w:val="24"/>
          <w:lang w:eastAsia="es-ES"/>
        </w:rPr>
        <w:t>**********</w:t>
      </w:r>
      <w:r w:rsidRPr="00AD7D7A">
        <w:rPr>
          <w:rFonts w:ascii="Arial" w:eastAsia="Times New Roman" w:hAnsi="Arial" w:cs="Arial"/>
          <w:sz w:val="24"/>
          <w:szCs w:val="24"/>
          <w:lang w:eastAsia="es-ES"/>
        </w:rPr>
        <w:t xml:space="preserve">a demandar por la nulidad de: </w:t>
      </w:r>
      <w:r w:rsidRPr="00AD7D7A">
        <w:rPr>
          <w:rFonts w:ascii="Arial" w:eastAsia="Times New Roman" w:hAnsi="Arial" w:cs="Arial"/>
          <w:i/>
          <w:lang w:eastAsia="es-ES"/>
        </w:rPr>
        <w:t>“</w:t>
      </w:r>
      <w:r w:rsidR="0061569C">
        <w:rPr>
          <w:rFonts w:ascii="Arial" w:eastAsia="Times New Roman" w:hAnsi="Arial" w:cs="Arial"/>
          <w:i/>
          <w:lang w:eastAsia="es-ES"/>
        </w:rPr>
        <w:t xml:space="preserve">El oficio: </w:t>
      </w:r>
      <w:r w:rsidR="00944696">
        <w:rPr>
          <w:rFonts w:ascii="Arial" w:eastAsia="Times New Roman" w:hAnsi="Arial" w:cs="Arial"/>
          <w:i/>
          <w:color w:val="FF0000"/>
          <w:lang w:eastAsia="es-ES"/>
        </w:rPr>
        <w:t>**********</w:t>
      </w:r>
      <w:r w:rsidR="0061569C">
        <w:rPr>
          <w:rFonts w:ascii="Arial" w:eastAsia="Times New Roman" w:hAnsi="Arial" w:cs="Arial"/>
          <w:i/>
          <w:lang w:eastAsia="es-ES"/>
        </w:rPr>
        <w:t xml:space="preserve">, de 21 de diciembre del 2017, emitido por la C. Directora de Comercialización del Organismo Intermunicipal Metropolitano de Agua Potable, Alcantarillado, Saneamiento y Servicios Conexos de los Municipios de Cerro de San Pedro, San Luis Potosí y Soledad de Graciano Sánchez (INTERAPAS), en el que dan a conocer las fechas de muestreo del 4to. Trimestre del 2013 al 3er </w:t>
      </w:r>
      <w:r w:rsidR="00C20F76">
        <w:rPr>
          <w:rFonts w:ascii="Arial" w:eastAsia="Times New Roman" w:hAnsi="Arial" w:cs="Arial"/>
          <w:i/>
          <w:lang w:eastAsia="es-ES"/>
        </w:rPr>
        <w:t>t</w:t>
      </w:r>
      <w:r w:rsidR="0061569C">
        <w:rPr>
          <w:rFonts w:ascii="Arial" w:eastAsia="Times New Roman" w:hAnsi="Arial" w:cs="Arial"/>
          <w:i/>
          <w:lang w:eastAsia="es-ES"/>
        </w:rPr>
        <w:t xml:space="preserve">rimestre de 2017, expresando los resultados de la aplicación del artículo 7 de las Tarifas y Cuotas en Materia de Saneamiento, en cantidad de </w:t>
      </w:r>
      <w:r w:rsidR="00944696">
        <w:rPr>
          <w:rFonts w:ascii="Arial" w:eastAsia="Times New Roman" w:hAnsi="Arial" w:cs="Arial"/>
          <w:i/>
          <w:color w:val="FF0000"/>
          <w:lang w:eastAsia="es-ES"/>
        </w:rPr>
        <w:t>**********</w:t>
      </w:r>
      <w:r w:rsidR="0061569C">
        <w:rPr>
          <w:rFonts w:ascii="Arial" w:eastAsia="Times New Roman" w:hAnsi="Arial" w:cs="Arial"/>
          <w:i/>
          <w:lang w:eastAsia="es-ES"/>
        </w:rPr>
        <w:t xml:space="preserve">con los fundamentos y motivos que no se habían expresado en el oficio que le antecede </w:t>
      </w:r>
      <w:r w:rsidR="00944696">
        <w:rPr>
          <w:rFonts w:ascii="Arial" w:eastAsia="Times New Roman" w:hAnsi="Arial" w:cs="Arial"/>
          <w:i/>
          <w:color w:val="FF0000"/>
          <w:lang w:eastAsia="es-ES"/>
        </w:rPr>
        <w:t>**********</w:t>
      </w:r>
      <w:r w:rsidR="0061569C">
        <w:rPr>
          <w:rFonts w:ascii="Arial" w:eastAsia="Times New Roman" w:hAnsi="Arial" w:cs="Arial"/>
          <w:i/>
          <w:lang w:eastAsia="es-ES"/>
        </w:rPr>
        <w:t>, de 27 de noviembre del 2017, emitido por la C. Directora de Comercialización del Organismo Intermunicipal Metropolitano de Agua Potable, Alcantarillado, Saneamiento y Servicios Conexos de los Municipios de Cerro de San Pedro, San Luis Potosí</w:t>
      </w:r>
      <w:r w:rsidR="0028313A">
        <w:rPr>
          <w:rFonts w:ascii="Arial" w:eastAsia="Times New Roman" w:hAnsi="Arial" w:cs="Arial"/>
          <w:i/>
          <w:lang w:eastAsia="es-ES"/>
        </w:rPr>
        <w:t xml:space="preserve"> y Soledad de Graciano Sánchez (INTERAPAS), con el que determina el mismo </w:t>
      </w:r>
      <w:r w:rsidR="0028313A">
        <w:rPr>
          <w:rFonts w:ascii="Arial" w:eastAsia="Times New Roman" w:hAnsi="Arial" w:cs="Arial"/>
          <w:i/>
          <w:lang w:eastAsia="es-ES"/>
        </w:rPr>
        <w:lastRenderedPageBreak/>
        <w:t xml:space="preserve">adeudo por descarga de contaminantes a la red de drenaje municipal del 4to. trimestre del 2013 al 3er trimestre de 2017, por la cantidad igual de </w:t>
      </w:r>
      <w:r w:rsidR="00944696">
        <w:rPr>
          <w:rFonts w:ascii="Arial" w:eastAsia="Times New Roman" w:hAnsi="Arial" w:cs="Arial"/>
          <w:i/>
          <w:color w:val="FF0000"/>
          <w:lang w:eastAsia="es-ES"/>
        </w:rPr>
        <w:t>**********</w:t>
      </w:r>
      <w:r w:rsidR="0028313A">
        <w:rPr>
          <w:rFonts w:ascii="Arial" w:eastAsia="Times New Roman" w:hAnsi="Arial" w:cs="Arial"/>
          <w:i/>
          <w:lang w:eastAsia="es-ES"/>
        </w:rPr>
        <w:t xml:space="preserve">, por lo que hasta la fecha en que fue del conocimiento de la demandante el documento primeramente mencionado, que fue el último dictado en el procedimiento </w:t>
      </w:r>
      <w:r w:rsidR="00C20F76">
        <w:rPr>
          <w:rFonts w:ascii="Arial" w:eastAsia="Times New Roman" w:hAnsi="Arial" w:cs="Arial"/>
          <w:i/>
          <w:lang w:eastAsia="es-ES"/>
        </w:rPr>
        <w:t>administrativo, es el que asume el carácter de definitivo, por ser la sucesión legalmente ordenada de hechos y actos tendentes al nacimiento de una decisión final materialmente administrativa.”</w:t>
      </w:r>
      <w:r w:rsidRPr="00AD7D7A">
        <w:rPr>
          <w:rFonts w:ascii="Arial" w:eastAsia="Times New Roman" w:hAnsi="Arial" w:cs="Arial"/>
          <w:sz w:val="24"/>
          <w:szCs w:val="24"/>
          <w:lang w:eastAsia="es-ES"/>
        </w:rPr>
        <w:t>; señalando como fecha en que tuv</w:t>
      </w:r>
      <w:r w:rsidR="00C20F76">
        <w:rPr>
          <w:rFonts w:ascii="Arial" w:eastAsia="Times New Roman" w:hAnsi="Arial" w:cs="Arial"/>
          <w:sz w:val="24"/>
          <w:szCs w:val="24"/>
          <w:lang w:eastAsia="es-ES"/>
        </w:rPr>
        <w:t xml:space="preserve">o conocimiento del acto que considera como definitivo, el nueve de febrero de dos mil diecisiete y señala como </w:t>
      </w:r>
      <w:r w:rsidR="00D74529">
        <w:rPr>
          <w:rFonts w:ascii="Arial" w:eastAsia="Times New Roman" w:hAnsi="Arial" w:cs="Arial"/>
          <w:sz w:val="24"/>
          <w:szCs w:val="24"/>
          <w:lang w:eastAsia="es-ES"/>
        </w:rPr>
        <w:t>autoridades demandadas a la Directora de Comercialización y Titular del Organismo Intermunicipal, Metropolitano de Agua Potable, Alcantarillado, Saneamiento y Servicios Conexos de los Municipios de Cerro de San Pedro, San Luis Potosí y Soledad de Graciano Sánchez (INTERAPAS). Por lo que, mediante proveído de catorce de marzo de dos mil dieciocho, se admitió a trámite la demanda y</w:t>
      </w:r>
      <w:r w:rsidRPr="00AD7D7A">
        <w:rPr>
          <w:rFonts w:ascii="Arial" w:eastAsia="Times New Roman" w:hAnsi="Arial" w:cs="Arial"/>
          <w:sz w:val="24"/>
          <w:szCs w:val="24"/>
          <w:lang w:eastAsia="es-ES"/>
        </w:rPr>
        <w:t xml:space="preserve"> con la copia simple y anexos, se ordenó correr traslado a las autoridades demandadas y terceros, para que dentro del término de diez días hábiles contestaran lo que a su interés conviniera. </w:t>
      </w:r>
      <w:r w:rsidR="00CE2C6A">
        <w:rPr>
          <w:rFonts w:ascii="Arial" w:eastAsia="Times New Roman" w:hAnsi="Arial" w:cs="Arial"/>
          <w:sz w:val="24"/>
          <w:szCs w:val="24"/>
          <w:lang w:eastAsia="es-ES"/>
        </w:rPr>
        <w:t xml:space="preserve">No se acordó de conformidad con lo solicitado por la parte actora, respecto del pago de los daños y perjuicios que considera le genera el oficio impugnado de veintiuno de diciembre de 2017. En contra del proveído de referencia, la actora promovió recurso de reclamación, auto que quedó firme mediante interlocutoria de ocho de junio de dos mil dieciocho. Con acuerdo de dieciséis de abril de dos mil dieciocho, se tuvo por contestada la demanda a las autoridades </w:t>
      </w:r>
      <w:r w:rsidRPr="00AD7D7A">
        <w:rPr>
          <w:rFonts w:ascii="Arial" w:eastAsia="Times New Roman" w:hAnsi="Arial" w:cs="Arial"/>
          <w:sz w:val="24"/>
          <w:szCs w:val="24"/>
          <w:lang w:eastAsia="es-ES"/>
        </w:rPr>
        <w:t>demandadas, por lo que con la copia simple y anexos, se ordenó correr traslado a la parte actora, para que dentro del término de cinco días hábiles, manifestara lo que a su interés conviniera. Se tuvo a la parte actora por admitidas las pruebas documentales que a</w:t>
      </w:r>
      <w:r w:rsidR="00115B74">
        <w:rPr>
          <w:rFonts w:ascii="Arial" w:eastAsia="Times New Roman" w:hAnsi="Arial" w:cs="Arial"/>
          <w:sz w:val="24"/>
          <w:szCs w:val="24"/>
          <w:lang w:eastAsia="es-ES"/>
        </w:rPr>
        <w:t xml:space="preserve">compañó a su escrito de demanda, así como la presuncional, legal y humana </w:t>
      </w:r>
      <w:r w:rsidR="00444BB5">
        <w:rPr>
          <w:rFonts w:ascii="Arial" w:eastAsia="Times New Roman" w:hAnsi="Arial" w:cs="Arial"/>
          <w:sz w:val="24"/>
          <w:szCs w:val="24"/>
          <w:lang w:eastAsia="es-ES"/>
        </w:rPr>
        <w:t>y se requirió al actor para que en el término de cinco días hábiles, exhibiera el acuse de la solicitud realizada antes de la presentación de la demanda, del expediente administrativo, consistente en las documentales públicas y privadas, a nombre de la demandante, para estar en aptitud de requerirlas</w:t>
      </w:r>
      <w:r w:rsidR="00383655">
        <w:rPr>
          <w:rFonts w:ascii="Arial" w:eastAsia="Times New Roman" w:hAnsi="Arial" w:cs="Arial"/>
          <w:sz w:val="24"/>
          <w:szCs w:val="24"/>
          <w:lang w:eastAsia="es-ES"/>
        </w:rPr>
        <w:t xml:space="preserve">; de lo cual la demandante no dio cumplimiento y </w:t>
      </w:r>
      <w:r w:rsidR="00F05B8B">
        <w:rPr>
          <w:rFonts w:ascii="Arial" w:eastAsia="Times New Roman" w:hAnsi="Arial" w:cs="Arial"/>
          <w:sz w:val="24"/>
          <w:szCs w:val="24"/>
          <w:lang w:eastAsia="es-ES"/>
        </w:rPr>
        <w:t xml:space="preserve">por auto de dieciséis de agosto de dos mil dieciocho, </w:t>
      </w:r>
      <w:r w:rsidR="00383655">
        <w:rPr>
          <w:rFonts w:ascii="Arial" w:eastAsia="Times New Roman" w:hAnsi="Arial" w:cs="Arial"/>
          <w:sz w:val="24"/>
          <w:szCs w:val="24"/>
          <w:lang w:eastAsia="es-ES"/>
        </w:rPr>
        <w:t xml:space="preserve">se le hizo efectivo el apercibimiento formulado </w:t>
      </w:r>
      <w:r w:rsidR="00444BB5">
        <w:rPr>
          <w:rFonts w:ascii="Arial" w:eastAsia="Times New Roman" w:hAnsi="Arial" w:cs="Arial"/>
          <w:sz w:val="24"/>
          <w:szCs w:val="24"/>
          <w:lang w:eastAsia="es-ES"/>
        </w:rPr>
        <w:t>en el acuerdo de dieciséis de abril de</w:t>
      </w:r>
      <w:r w:rsidR="00F05B8B">
        <w:rPr>
          <w:rFonts w:ascii="Arial" w:eastAsia="Times New Roman" w:hAnsi="Arial" w:cs="Arial"/>
          <w:sz w:val="24"/>
          <w:szCs w:val="24"/>
          <w:lang w:eastAsia="es-ES"/>
        </w:rPr>
        <w:t>l mismo año</w:t>
      </w:r>
      <w:r w:rsidR="00383655">
        <w:rPr>
          <w:rFonts w:ascii="Arial" w:eastAsia="Times New Roman" w:hAnsi="Arial" w:cs="Arial"/>
          <w:sz w:val="24"/>
          <w:szCs w:val="24"/>
          <w:lang w:eastAsia="es-ES"/>
        </w:rPr>
        <w:t xml:space="preserve"> y se desechó la prueba en cita</w:t>
      </w:r>
      <w:r w:rsidR="00F05B8B">
        <w:rPr>
          <w:rFonts w:ascii="Arial" w:eastAsia="Times New Roman" w:hAnsi="Arial" w:cs="Arial"/>
          <w:sz w:val="24"/>
          <w:szCs w:val="24"/>
          <w:lang w:eastAsia="es-ES"/>
        </w:rPr>
        <w:t>. Siendo las nueve horas del treinta y uno de agosto de dos mil dieciocho, se celebró la audiencia de ley, sin la asistencia de las partes. S</w:t>
      </w:r>
      <w:r w:rsidRPr="00AD7D7A">
        <w:rPr>
          <w:rFonts w:ascii="Arial" w:eastAsia="Times New Roman" w:hAnsi="Arial" w:cs="Arial"/>
          <w:sz w:val="24"/>
          <w:szCs w:val="24"/>
          <w:lang w:eastAsia="es-ES"/>
        </w:rPr>
        <w:t xml:space="preserve">e tuvieron por desahogadas las pruebas documentales ofrecidas por las partes, dada su propia naturaleza. Se certificó que no existieron pruebas pendientes por desahogar y en período de alegatos, se </w:t>
      </w:r>
      <w:r w:rsidR="00F05B8B">
        <w:rPr>
          <w:rFonts w:ascii="Arial" w:eastAsia="Times New Roman" w:hAnsi="Arial" w:cs="Arial"/>
          <w:sz w:val="24"/>
          <w:szCs w:val="24"/>
          <w:lang w:eastAsia="es-ES"/>
        </w:rPr>
        <w:t>certificó que estos no fuero</w:t>
      </w:r>
      <w:r w:rsidR="00CA40B5">
        <w:rPr>
          <w:rFonts w:ascii="Arial" w:eastAsia="Times New Roman" w:hAnsi="Arial" w:cs="Arial"/>
          <w:sz w:val="24"/>
          <w:szCs w:val="24"/>
          <w:lang w:eastAsia="es-ES"/>
        </w:rPr>
        <w:t>n</w:t>
      </w:r>
      <w:r w:rsidR="00F05B8B">
        <w:rPr>
          <w:rFonts w:ascii="Arial" w:eastAsia="Times New Roman" w:hAnsi="Arial" w:cs="Arial"/>
          <w:sz w:val="24"/>
          <w:szCs w:val="24"/>
          <w:lang w:eastAsia="es-ES"/>
        </w:rPr>
        <w:t xml:space="preserve"> formulados por las partes. Mediante acuerdo de veinte de septiembre de dos </w:t>
      </w:r>
      <w:r w:rsidR="00F05B8B">
        <w:rPr>
          <w:rFonts w:ascii="Arial" w:eastAsia="Times New Roman" w:hAnsi="Arial" w:cs="Arial"/>
          <w:sz w:val="24"/>
          <w:szCs w:val="24"/>
          <w:lang w:eastAsia="es-ES"/>
        </w:rPr>
        <w:lastRenderedPageBreak/>
        <w:t xml:space="preserve">mil dieciocho, se ordenó regularizar el procedimiento, con la finalidad de otorgar a la actora su derecho de ampliar la demanda, por lo que se le concedió el término de diez días hábiles a la promovente para tales efectos. Por auto de tres de octubre de dos mil dieciocho, se tuvo a la parte actora por ampliando su demanda y con las copias simples y anexos, se ordenó correr traslado a las demandadas, para que dentro del término de diez días hábiles emitieran su respectiva contestación, con el apercibimiento de ley. Con proveído de veintiséis de octubre de dos mil dieciocho, se tuvo a las demandadas, por no contestada la ampliación de demanda, en virtud de que no lo hicieron en el término correspondiente. Siendo las doce horas del catorce de noviembre de dos mil dieciocho, se celebró la continuación de la audiencia de ley, sin la asistencia de las partes. Se hizo una relación de las constancias de autos y en período de pruebas se tuvieron por desahogadas las documentales de las partes, dada su propia naturaleza. En período de alegatos, se certificó que estos </w:t>
      </w:r>
      <w:r w:rsidR="00114766">
        <w:rPr>
          <w:rFonts w:ascii="Arial" w:eastAsia="Times New Roman" w:hAnsi="Arial" w:cs="Arial"/>
          <w:sz w:val="24"/>
          <w:szCs w:val="24"/>
          <w:lang w:eastAsia="es-ES"/>
        </w:rPr>
        <w:t>no se formularon por ninguna de las partes</w:t>
      </w:r>
      <w:r w:rsidRPr="00AD7D7A">
        <w:rPr>
          <w:rFonts w:ascii="Arial" w:eastAsia="Times New Roman" w:hAnsi="Arial" w:cs="Arial"/>
          <w:sz w:val="24"/>
          <w:szCs w:val="24"/>
          <w:lang w:eastAsia="es-ES"/>
        </w:rPr>
        <w:t>, quedando así debidamente integrado el presente expediente, citándose para resolver.</w:t>
      </w:r>
    </w:p>
    <w:p w:rsidR="00AD7D7A" w:rsidRPr="00AD7D7A" w:rsidRDefault="00AD7D7A" w:rsidP="00AD7D7A">
      <w:pPr>
        <w:keepNext/>
        <w:spacing w:after="0" w:line="360" w:lineRule="auto"/>
        <w:ind w:right="-1"/>
        <w:jc w:val="center"/>
        <w:outlineLvl w:val="3"/>
        <w:rPr>
          <w:rFonts w:ascii="Arial" w:eastAsia="Calibri" w:hAnsi="Arial" w:cs="Arial"/>
          <w:b/>
          <w:sz w:val="24"/>
          <w:szCs w:val="24"/>
          <w:lang w:val="es-MX"/>
        </w:rPr>
      </w:pPr>
      <w:r w:rsidRPr="00AD7D7A">
        <w:rPr>
          <w:rFonts w:ascii="Arial" w:eastAsia="Calibri" w:hAnsi="Arial" w:cs="Arial"/>
          <w:b/>
          <w:sz w:val="24"/>
          <w:szCs w:val="24"/>
          <w:lang w:val="es-MX"/>
        </w:rPr>
        <w:t>C O N S I D E R A N D O</w:t>
      </w:r>
    </w:p>
    <w:p w:rsidR="00AD7D7A" w:rsidRPr="00AD7D7A" w:rsidRDefault="00AD7D7A" w:rsidP="00AD7D7A">
      <w:pPr>
        <w:autoSpaceDE w:val="0"/>
        <w:autoSpaceDN w:val="0"/>
        <w:adjustRightInd w:val="0"/>
        <w:spacing w:after="0" w:line="360" w:lineRule="auto"/>
        <w:ind w:firstLine="709"/>
        <w:jc w:val="both"/>
        <w:rPr>
          <w:rFonts w:ascii="Arial" w:eastAsia="Calibri" w:hAnsi="Arial" w:cs="Arial"/>
          <w:b/>
          <w:sz w:val="24"/>
          <w:szCs w:val="24"/>
          <w:lang w:val="es-MX"/>
        </w:rPr>
      </w:pPr>
    </w:p>
    <w:p w:rsidR="00AD7D7A" w:rsidRPr="00AD7D7A" w:rsidRDefault="00AD7D7A" w:rsidP="00AD7D7A">
      <w:pPr>
        <w:autoSpaceDE w:val="0"/>
        <w:autoSpaceDN w:val="0"/>
        <w:adjustRightInd w:val="0"/>
        <w:spacing w:after="0" w:line="360" w:lineRule="auto"/>
        <w:ind w:firstLine="709"/>
        <w:jc w:val="both"/>
        <w:rPr>
          <w:rFonts w:ascii="Arial" w:eastAsia="Times New Roman" w:hAnsi="Arial" w:cs="Arial"/>
          <w:sz w:val="24"/>
          <w:szCs w:val="24"/>
          <w:lang w:val="es-MX" w:eastAsia="es-ES"/>
        </w:rPr>
      </w:pPr>
      <w:r w:rsidRPr="00AD7D7A">
        <w:rPr>
          <w:rFonts w:ascii="Arial" w:eastAsia="Calibri" w:hAnsi="Arial" w:cs="Arial"/>
          <w:b/>
          <w:sz w:val="24"/>
          <w:szCs w:val="24"/>
          <w:lang w:val="es-MX"/>
        </w:rPr>
        <w:t>PRIMERO.-</w:t>
      </w:r>
      <w:r w:rsidRPr="00AD7D7A">
        <w:rPr>
          <w:rFonts w:ascii="Arial" w:eastAsia="Calibri" w:hAnsi="Arial" w:cs="Arial"/>
          <w:sz w:val="24"/>
          <w:szCs w:val="24"/>
          <w:lang w:val="es-MX"/>
        </w:rPr>
        <w:t xml:space="preserve"> </w:t>
      </w:r>
      <w:r w:rsidRPr="00AD7D7A">
        <w:rPr>
          <w:rFonts w:ascii="Arial" w:eastAsia="Times New Roman" w:hAnsi="Arial" w:cs="Arial"/>
          <w:sz w:val="24"/>
          <w:szCs w:val="24"/>
          <w:lang w:val="es-MX" w:eastAsia="es-ES"/>
        </w:rPr>
        <w:t>A la Tercera Sala Unitaria del Tribunal Estatal de Justicia Administrativa, corresponde conocer, substanciar y resolver los juicios de su competencia, en términos de los artículos 123 de la Constitución Política del Estado de San Luis Potosí, y 7º, 9º fracción III, 24, 25, 26, 28, 29, 30, 33, 34, 35, 36 y 37, de la Ley Orgánica del Tribunal Estatal de Justicia Administrativa de San Luis Potosí, publicada en el Periódico Oficial del Gobierno del Estado “Plan de San Luis”, mediante Decreto número 603 del diez de abril de dos mil diecisiete;</w:t>
      </w:r>
      <w:r w:rsidRPr="00AD7D7A">
        <w:rPr>
          <w:rFonts w:ascii="Arial" w:eastAsia="Calibri" w:hAnsi="Arial" w:cs="Arial"/>
          <w:sz w:val="24"/>
          <w:szCs w:val="24"/>
          <w:lang w:val="es-MX"/>
        </w:rPr>
        <w:t xml:space="preserve"> </w:t>
      </w:r>
      <w:r w:rsidRPr="00AD7D7A">
        <w:rPr>
          <w:rFonts w:ascii="Arial" w:eastAsia="Times New Roman" w:hAnsi="Arial" w:cs="Arial"/>
          <w:sz w:val="24"/>
          <w:szCs w:val="24"/>
          <w:lang w:val="es-MX" w:eastAsia="es-ES"/>
        </w:rPr>
        <w:t xml:space="preserve">y en el caso de este expediente, relativo a una controversia suscitada entre un particular y </w:t>
      </w:r>
      <w:r w:rsidR="00016255">
        <w:rPr>
          <w:rFonts w:ascii="Arial" w:eastAsia="Times New Roman" w:hAnsi="Arial" w:cs="Arial"/>
          <w:sz w:val="24"/>
          <w:szCs w:val="24"/>
          <w:lang w:val="es-MX" w:eastAsia="es-ES"/>
        </w:rPr>
        <w:t xml:space="preserve">un organismo </w:t>
      </w:r>
      <w:r w:rsidR="00EE0FC9">
        <w:rPr>
          <w:rFonts w:ascii="Arial" w:eastAsia="Times New Roman" w:hAnsi="Arial" w:cs="Arial"/>
          <w:sz w:val="24"/>
          <w:szCs w:val="24"/>
          <w:lang w:val="es-MX" w:eastAsia="es-ES"/>
        </w:rPr>
        <w:t>público descentralizado</w:t>
      </w:r>
      <w:r w:rsidR="0061156F">
        <w:rPr>
          <w:rFonts w:ascii="Arial" w:eastAsia="Times New Roman" w:hAnsi="Arial" w:cs="Arial"/>
          <w:sz w:val="24"/>
          <w:szCs w:val="24"/>
          <w:lang w:val="es-MX" w:eastAsia="es-ES"/>
        </w:rPr>
        <w:t xml:space="preserve"> </w:t>
      </w:r>
      <w:r w:rsidRPr="00AD7D7A">
        <w:rPr>
          <w:rFonts w:ascii="Arial" w:eastAsia="Times New Roman" w:hAnsi="Arial" w:cs="Arial"/>
          <w:sz w:val="24"/>
          <w:szCs w:val="24"/>
          <w:lang w:val="es-MX" w:eastAsia="es-ES"/>
        </w:rPr>
        <w:t>de esta entidad federativa donde se ejerce jurisdicción.</w:t>
      </w:r>
    </w:p>
    <w:p w:rsidR="00AD7D7A" w:rsidRPr="00EB2542" w:rsidRDefault="00AD7D7A" w:rsidP="00AD7D7A">
      <w:pPr>
        <w:spacing w:after="0" w:line="360" w:lineRule="auto"/>
        <w:ind w:firstLine="709"/>
        <w:jc w:val="both"/>
        <w:rPr>
          <w:rFonts w:ascii="Arial" w:eastAsia="Calibri" w:hAnsi="Arial" w:cs="Arial"/>
          <w:sz w:val="28"/>
          <w:szCs w:val="28"/>
        </w:rPr>
      </w:pPr>
    </w:p>
    <w:p w:rsidR="0061156F" w:rsidRDefault="00AD7D7A" w:rsidP="00AD7D7A">
      <w:pPr>
        <w:spacing w:after="0" w:line="360" w:lineRule="auto"/>
        <w:ind w:firstLine="709"/>
        <w:jc w:val="both"/>
        <w:rPr>
          <w:rFonts w:ascii="Arial" w:eastAsia="Calibri" w:hAnsi="Arial" w:cs="Arial"/>
          <w:sz w:val="24"/>
          <w:szCs w:val="24"/>
          <w:lang w:val="es-ES_tradnl"/>
        </w:rPr>
      </w:pPr>
      <w:r w:rsidRPr="00AD7D7A">
        <w:rPr>
          <w:rFonts w:ascii="Arial" w:eastAsia="Calibri" w:hAnsi="Arial" w:cs="Arial"/>
          <w:b/>
          <w:sz w:val="24"/>
          <w:szCs w:val="24"/>
          <w:lang w:val="es-MX"/>
        </w:rPr>
        <w:t xml:space="preserve">SEGUNDO.- </w:t>
      </w:r>
      <w:r w:rsidRPr="00AD7D7A">
        <w:rPr>
          <w:rFonts w:ascii="Arial" w:eastAsia="Calibri" w:hAnsi="Arial" w:cs="Arial"/>
          <w:sz w:val="24"/>
          <w:szCs w:val="24"/>
          <w:lang w:val="es-ES_tradnl"/>
        </w:rPr>
        <w:t>La personalidad de l</w:t>
      </w:r>
      <w:r w:rsidR="0061156F">
        <w:rPr>
          <w:rFonts w:ascii="Arial" w:eastAsia="Calibri" w:hAnsi="Arial" w:cs="Arial"/>
          <w:sz w:val="24"/>
          <w:szCs w:val="24"/>
          <w:lang w:val="es-ES_tradnl"/>
        </w:rPr>
        <w:t xml:space="preserve">a parte actora, se acredita con  el </w:t>
      </w:r>
      <w:r w:rsidR="005A5928">
        <w:rPr>
          <w:rFonts w:ascii="Arial" w:eastAsia="Calibri" w:hAnsi="Arial" w:cs="Arial"/>
          <w:sz w:val="24"/>
          <w:szCs w:val="24"/>
          <w:lang w:val="es-ES_tradnl"/>
        </w:rPr>
        <w:t xml:space="preserve">Poder para Pleitos y Cobranzas, a favor de </w:t>
      </w:r>
      <w:r w:rsidR="00944696">
        <w:rPr>
          <w:rFonts w:ascii="Arial" w:eastAsia="Calibri" w:hAnsi="Arial" w:cs="Arial"/>
          <w:color w:val="FF0000"/>
          <w:sz w:val="24"/>
          <w:szCs w:val="24"/>
          <w:lang w:val="es-ES_tradnl"/>
        </w:rPr>
        <w:t>**********</w:t>
      </w:r>
      <w:r w:rsidR="005A5928">
        <w:rPr>
          <w:rFonts w:ascii="Arial" w:eastAsia="Calibri" w:hAnsi="Arial" w:cs="Arial"/>
          <w:sz w:val="24"/>
          <w:szCs w:val="24"/>
          <w:lang w:val="es-ES_tradnl"/>
        </w:rPr>
        <w:t xml:space="preserve">, que obra a fojas </w:t>
      </w:r>
      <w:r w:rsidR="0061156F">
        <w:rPr>
          <w:rFonts w:ascii="Arial" w:eastAsia="Calibri" w:hAnsi="Arial" w:cs="Arial"/>
          <w:sz w:val="24"/>
          <w:szCs w:val="24"/>
          <w:lang w:val="es-ES_tradnl"/>
        </w:rPr>
        <w:t>65 a 72 de autos</w:t>
      </w:r>
      <w:r w:rsidR="005A5928">
        <w:rPr>
          <w:rFonts w:ascii="Arial" w:eastAsia="Calibri" w:hAnsi="Arial" w:cs="Arial"/>
          <w:sz w:val="24"/>
          <w:szCs w:val="24"/>
          <w:lang w:val="es-ES_tradnl"/>
        </w:rPr>
        <w:t>.</w:t>
      </w:r>
    </w:p>
    <w:p w:rsidR="0040547E" w:rsidRDefault="00AD7D7A" w:rsidP="0040547E">
      <w:pPr>
        <w:tabs>
          <w:tab w:val="left" w:pos="2835"/>
        </w:tabs>
        <w:spacing w:before="240" w:after="240" w:line="360" w:lineRule="auto"/>
        <w:ind w:firstLine="709"/>
        <w:jc w:val="both"/>
        <w:rPr>
          <w:rFonts w:ascii="Arial" w:eastAsia="Calibri" w:hAnsi="Arial" w:cs="Arial"/>
          <w:sz w:val="24"/>
          <w:szCs w:val="24"/>
          <w:lang w:val="es-ES_tradnl"/>
        </w:rPr>
      </w:pPr>
      <w:r w:rsidRPr="00AD7D7A">
        <w:rPr>
          <w:rFonts w:ascii="Arial" w:eastAsia="Calibri" w:hAnsi="Arial" w:cs="Arial"/>
          <w:sz w:val="24"/>
          <w:szCs w:val="24"/>
          <w:lang w:val="es-ES_tradnl"/>
        </w:rPr>
        <w:t xml:space="preserve">Por su parte, </w:t>
      </w:r>
      <w:r w:rsidR="004900B6">
        <w:rPr>
          <w:rFonts w:ascii="Arial" w:eastAsia="Calibri" w:hAnsi="Arial" w:cs="Arial"/>
          <w:sz w:val="24"/>
          <w:szCs w:val="24"/>
          <w:lang w:val="es-ES_tradnl"/>
        </w:rPr>
        <w:t xml:space="preserve">las autoridades demandadas, </w:t>
      </w:r>
      <w:r w:rsidR="005A5928">
        <w:rPr>
          <w:rFonts w:ascii="Arial" w:eastAsia="Calibri" w:hAnsi="Arial" w:cs="Arial"/>
          <w:sz w:val="24"/>
          <w:szCs w:val="24"/>
          <w:lang w:val="es-ES_tradnl"/>
        </w:rPr>
        <w:t xml:space="preserve">Director General </w:t>
      </w:r>
      <w:r w:rsidR="00A84AC4">
        <w:rPr>
          <w:rFonts w:ascii="Arial" w:eastAsia="Calibri" w:hAnsi="Arial" w:cs="Arial"/>
          <w:sz w:val="24"/>
          <w:szCs w:val="24"/>
          <w:lang w:val="es-ES_tradnl"/>
        </w:rPr>
        <w:t xml:space="preserve">y Directora de Comercialización </w:t>
      </w:r>
      <w:r w:rsidR="005A5928">
        <w:rPr>
          <w:rFonts w:ascii="Arial" w:eastAsia="Calibri" w:hAnsi="Arial" w:cs="Arial"/>
          <w:sz w:val="24"/>
          <w:szCs w:val="24"/>
          <w:lang w:val="es-ES_tradnl"/>
        </w:rPr>
        <w:t xml:space="preserve">del Organismo demandado, </w:t>
      </w:r>
      <w:r w:rsidRPr="00AD7D7A">
        <w:rPr>
          <w:rFonts w:ascii="Arial" w:eastAsia="Calibri" w:hAnsi="Arial" w:cs="Arial"/>
          <w:sz w:val="24"/>
          <w:szCs w:val="24"/>
          <w:lang w:val="es-ES_tradnl"/>
        </w:rPr>
        <w:t>acredit</w:t>
      </w:r>
      <w:r w:rsidR="00A84AC4">
        <w:rPr>
          <w:rFonts w:ascii="Arial" w:eastAsia="Calibri" w:hAnsi="Arial" w:cs="Arial"/>
          <w:sz w:val="24"/>
          <w:szCs w:val="24"/>
          <w:lang w:val="es-ES_tradnl"/>
        </w:rPr>
        <w:t>aron</w:t>
      </w:r>
      <w:r w:rsidRPr="00AD7D7A">
        <w:rPr>
          <w:rFonts w:ascii="Arial" w:eastAsia="Calibri" w:hAnsi="Arial" w:cs="Arial"/>
          <w:sz w:val="24"/>
          <w:szCs w:val="24"/>
          <w:lang w:val="es-ES_tradnl"/>
        </w:rPr>
        <w:t xml:space="preserve"> su personalidad </w:t>
      </w:r>
      <w:r w:rsidR="0040547E">
        <w:rPr>
          <w:rFonts w:ascii="Arial" w:eastAsia="Calibri" w:hAnsi="Arial" w:cs="Arial"/>
          <w:sz w:val="24"/>
          <w:szCs w:val="24"/>
          <w:lang w:val="es-ES_tradnl"/>
        </w:rPr>
        <w:t xml:space="preserve">en términos del </w:t>
      </w:r>
      <w:r w:rsidR="001A6CF6">
        <w:rPr>
          <w:rFonts w:ascii="Arial" w:eastAsia="Calibri" w:hAnsi="Arial" w:cs="Arial"/>
          <w:sz w:val="24"/>
          <w:szCs w:val="24"/>
          <w:lang w:val="es-ES_tradnl"/>
        </w:rPr>
        <w:t xml:space="preserve">tercer párrafo del </w:t>
      </w:r>
      <w:r w:rsidR="0040547E" w:rsidRPr="00EA21E3">
        <w:rPr>
          <w:rFonts w:ascii="Arial" w:eastAsia="Times New Roman" w:hAnsi="Arial" w:cs="Arial"/>
          <w:sz w:val="24"/>
          <w:szCs w:val="24"/>
          <w:lang w:eastAsia="es-ES"/>
        </w:rPr>
        <w:t xml:space="preserve">artículo </w:t>
      </w:r>
      <w:r w:rsidR="0040547E">
        <w:rPr>
          <w:rFonts w:ascii="Arial" w:eastAsia="Times New Roman" w:hAnsi="Arial" w:cs="Arial"/>
          <w:sz w:val="24"/>
          <w:szCs w:val="24"/>
          <w:lang w:eastAsia="es-ES"/>
        </w:rPr>
        <w:t>2</w:t>
      </w:r>
      <w:r w:rsidR="001A6CF6">
        <w:rPr>
          <w:rFonts w:ascii="Arial" w:eastAsia="Times New Roman" w:hAnsi="Arial" w:cs="Arial"/>
          <w:sz w:val="24"/>
          <w:szCs w:val="24"/>
          <w:lang w:eastAsia="es-ES"/>
        </w:rPr>
        <w:t>20</w:t>
      </w:r>
      <w:r w:rsidR="0040547E">
        <w:rPr>
          <w:rFonts w:ascii="Arial" w:eastAsia="Times New Roman" w:hAnsi="Arial" w:cs="Arial"/>
          <w:sz w:val="24"/>
          <w:szCs w:val="24"/>
          <w:lang w:eastAsia="es-ES"/>
        </w:rPr>
        <w:t xml:space="preserve"> </w:t>
      </w:r>
      <w:r w:rsidR="0040547E" w:rsidRPr="00EA21E3">
        <w:rPr>
          <w:rFonts w:ascii="Arial" w:eastAsia="Times New Roman" w:hAnsi="Arial" w:cs="Arial"/>
          <w:sz w:val="24"/>
          <w:szCs w:val="24"/>
          <w:lang w:eastAsia="es-ES"/>
        </w:rPr>
        <w:t>de</w:t>
      </w:r>
      <w:r w:rsidR="0040547E">
        <w:rPr>
          <w:rFonts w:ascii="Arial" w:eastAsia="Times New Roman" w:hAnsi="Arial" w:cs="Arial"/>
          <w:sz w:val="24"/>
          <w:szCs w:val="24"/>
          <w:lang w:eastAsia="es-ES"/>
        </w:rPr>
        <w:t xml:space="preserve">l Código Procesal Administrativo para el Estado de San Luis Potosí, con la copia </w:t>
      </w:r>
      <w:r w:rsidRPr="00AD7D7A">
        <w:rPr>
          <w:rFonts w:ascii="Arial" w:eastAsia="Calibri" w:hAnsi="Arial" w:cs="Arial"/>
          <w:sz w:val="24"/>
          <w:szCs w:val="24"/>
          <w:lang w:val="es-ES_tradnl"/>
        </w:rPr>
        <w:lastRenderedPageBreak/>
        <w:t>certificada de</w:t>
      </w:r>
      <w:r w:rsidR="004900B6">
        <w:rPr>
          <w:rFonts w:ascii="Arial" w:eastAsia="Calibri" w:hAnsi="Arial" w:cs="Arial"/>
          <w:sz w:val="24"/>
          <w:szCs w:val="24"/>
          <w:lang w:val="es-ES_tradnl"/>
        </w:rPr>
        <w:t xml:space="preserve">l nombramiento otorgado a su favor, </w:t>
      </w:r>
      <w:r w:rsidR="00A84AC4">
        <w:rPr>
          <w:rFonts w:ascii="Arial" w:eastAsia="Calibri" w:hAnsi="Arial" w:cs="Arial"/>
          <w:sz w:val="24"/>
          <w:szCs w:val="24"/>
          <w:lang w:val="es-ES_tradnl"/>
        </w:rPr>
        <w:t xml:space="preserve">visibles a fojas 87 a 94 y </w:t>
      </w:r>
      <w:r w:rsidR="004900B6">
        <w:rPr>
          <w:rFonts w:ascii="Arial" w:eastAsia="Calibri" w:hAnsi="Arial" w:cs="Arial"/>
          <w:sz w:val="24"/>
          <w:szCs w:val="24"/>
          <w:lang w:val="es-ES_tradnl"/>
        </w:rPr>
        <w:t>100 de autos</w:t>
      </w:r>
      <w:r w:rsidRPr="00AD7D7A">
        <w:rPr>
          <w:rFonts w:ascii="Arial" w:eastAsia="Calibri" w:hAnsi="Arial" w:cs="Arial"/>
          <w:sz w:val="24"/>
          <w:szCs w:val="24"/>
          <w:lang w:val="es-ES_tradnl"/>
        </w:rPr>
        <w:t>; documental</w:t>
      </w:r>
      <w:r w:rsidR="00A84AC4">
        <w:rPr>
          <w:rFonts w:ascii="Arial" w:eastAsia="Calibri" w:hAnsi="Arial" w:cs="Arial"/>
          <w:sz w:val="24"/>
          <w:szCs w:val="24"/>
          <w:lang w:val="es-ES_tradnl"/>
        </w:rPr>
        <w:t>es</w:t>
      </w:r>
      <w:r w:rsidRPr="00AD7D7A">
        <w:rPr>
          <w:rFonts w:ascii="Arial" w:eastAsia="Calibri" w:hAnsi="Arial" w:cs="Arial"/>
          <w:sz w:val="24"/>
          <w:szCs w:val="24"/>
          <w:lang w:val="es-ES_tradnl"/>
        </w:rPr>
        <w:t xml:space="preserve"> a la</w:t>
      </w:r>
      <w:r w:rsidR="00A84AC4">
        <w:rPr>
          <w:rFonts w:ascii="Arial" w:eastAsia="Calibri" w:hAnsi="Arial" w:cs="Arial"/>
          <w:sz w:val="24"/>
          <w:szCs w:val="24"/>
          <w:lang w:val="es-ES_tradnl"/>
        </w:rPr>
        <w:t>s</w:t>
      </w:r>
      <w:r w:rsidRPr="00AD7D7A">
        <w:rPr>
          <w:rFonts w:ascii="Arial" w:eastAsia="Calibri" w:hAnsi="Arial" w:cs="Arial"/>
          <w:sz w:val="24"/>
          <w:szCs w:val="24"/>
          <w:lang w:val="es-ES_tradnl"/>
        </w:rPr>
        <w:t xml:space="preserve"> cual</w:t>
      </w:r>
      <w:r w:rsidR="00A84AC4">
        <w:rPr>
          <w:rFonts w:ascii="Arial" w:eastAsia="Calibri" w:hAnsi="Arial" w:cs="Arial"/>
          <w:sz w:val="24"/>
          <w:szCs w:val="24"/>
          <w:lang w:val="es-ES_tradnl"/>
        </w:rPr>
        <w:t>es</w:t>
      </w:r>
      <w:r w:rsidRPr="00AD7D7A">
        <w:rPr>
          <w:rFonts w:ascii="Arial" w:eastAsia="Calibri" w:hAnsi="Arial" w:cs="Arial"/>
          <w:sz w:val="24"/>
          <w:szCs w:val="24"/>
          <w:lang w:val="es-ES_tradnl"/>
        </w:rPr>
        <w:t xml:space="preserve"> se le</w:t>
      </w:r>
      <w:r w:rsidR="00A84AC4">
        <w:rPr>
          <w:rFonts w:ascii="Arial" w:eastAsia="Calibri" w:hAnsi="Arial" w:cs="Arial"/>
          <w:sz w:val="24"/>
          <w:szCs w:val="24"/>
          <w:lang w:val="es-ES_tradnl"/>
        </w:rPr>
        <w:t>s</w:t>
      </w:r>
      <w:r w:rsidRPr="00AD7D7A">
        <w:rPr>
          <w:rFonts w:ascii="Arial" w:eastAsia="Calibri" w:hAnsi="Arial" w:cs="Arial"/>
          <w:sz w:val="24"/>
          <w:szCs w:val="24"/>
          <w:lang w:val="es-ES_tradnl"/>
        </w:rPr>
        <w:t xml:space="preserve"> otorga valor probatorio pleno, en términos del artículo 72 fracción I del Código Procesal Administrativo para el Estado de San Luis Potosí. </w:t>
      </w:r>
    </w:p>
    <w:p w:rsidR="00EB2542" w:rsidRDefault="00EB2542" w:rsidP="0040547E">
      <w:pPr>
        <w:tabs>
          <w:tab w:val="left" w:pos="2835"/>
        </w:tabs>
        <w:spacing w:before="240" w:after="240" w:line="360" w:lineRule="auto"/>
        <w:ind w:firstLine="709"/>
        <w:jc w:val="both"/>
        <w:rPr>
          <w:rFonts w:ascii="Arial" w:eastAsia="Calibri" w:hAnsi="Arial" w:cs="Arial"/>
          <w:sz w:val="24"/>
          <w:szCs w:val="24"/>
          <w:lang w:val="es-ES_tradnl"/>
        </w:rPr>
      </w:pPr>
    </w:p>
    <w:p w:rsidR="004900B6" w:rsidRDefault="004900B6" w:rsidP="0040547E">
      <w:pPr>
        <w:tabs>
          <w:tab w:val="left" w:pos="2835"/>
        </w:tabs>
        <w:spacing w:before="240" w:after="240" w:line="360" w:lineRule="auto"/>
        <w:ind w:firstLine="709"/>
        <w:jc w:val="both"/>
        <w:rPr>
          <w:rFonts w:ascii="Arial" w:eastAsia="Calibri" w:hAnsi="Arial" w:cs="Arial"/>
          <w:sz w:val="24"/>
          <w:szCs w:val="24"/>
          <w:lang w:val="es-ES_tradnl"/>
        </w:rPr>
      </w:pPr>
      <w:r>
        <w:rPr>
          <w:rFonts w:ascii="Arial" w:eastAsia="Calibri" w:hAnsi="Arial" w:cs="Arial"/>
          <w:sz w:val="24"/>
          <w:szCs w:val="24"/>
          <w:lang w:val="es-ES_tradnl"/>
        </w:rPr>
        <w:t xml:space="preserve">Y que si bien es cierto que la parte actora, </w:t>
      </w:r>
      <w:r w:rsidR="00A84AC4">
        <w:rPr>
          <w:rFonts w:ascii="Arial" w:eastAsia="Calibri" w:hAnsi="Arial" w:cs="Arial"/>
          <w:sz w:val="24"/>
          <w:szCs w:val="24"/>
          <w:lang w:val="es-ES_tradnl"/>
        </w:rPr>
        <w:t xml:space="preserve">objeta las documentales mencionadas al considerar que las mismas carecen de legalidad, también lo es que </w:t>
      </w:r>
      <w:r w:rsidR="00D762AA">
        <w:rPr>
          <w:rFonts w:ascii="Arial" w:eastAsia="Calibri" w:hAnsi="Arial" w:cs="Arial"/>
          <w:sz w:val="24"/>
          <w:szCs w:val="24"/>
          <w:lang w:val="es-ES_tradnl"/>
        </w:rPr>
        <w:t xml:space="preserve">del estudio de sus argumentos, se desprende que la intención del actor es controvertir el acto jurídico específico, por medio del cual se otorgó nombramiento </w:t>
      </w:r>
      <w:r w:rsidR="00280B64">
        <w:rPr>
          <w:rFonts w:ascii="Arial" w:eastAsia="Calibri" w:hAnsi="Arial" w:cs="Arial"/>
          <w:sz w:val="24"/>
          <w:szCs w:val="24"/>
          <w:lang w:val="es-ES_tradnl"/>
        </w:rPr>
        <w:t>de Director General del Organismo demandado al Ingeniero Alfredo Zúñiga Hervert y este a su vez otorga nombramiento en favor de la Licenciada Irene Zúñiga Muñoz como Directora de Comercialización, al advertir que la Junta de Gobierno del Organismo demandado, al designar el nombramiento del Director General, debió especificar la duración de su cargo, por lo que en consecuencia considera que el nombramiento de la Directora de Comercialización, proviene de un acto viciado de origen</w:t>
      </w:r>
      <w:r w:rsidR="00CA40B5">
        <w:rPr>
          <w:rFonts w:ascii="Arial" w:eastAsia="Calibri" w:hAnsi="Arial" w:cs="Arial"/>
          <w:sz w:val="24"/>
          <w:szCs w:val="24"/>
          <w:lang w:val="es-ES_tradnl"/>
        </w:rPr>
        <w:t>, pues pretende demostrar que no se cumplió con cierta formalidad que el actor califica como requisito</w:t>
      </w:r>
      <w:r w:rsidR="00280B64">
        <w:rPr>
          <w:rFonts w:ascii="Arial" w:eastAsia="Calibri" w:hAnsi="Arial" w:cs="Arial"/>
          <w:sz w:val="24"/>
          <w:szCs w:val="24"/>
          <w:lang w:val="es-ES_tradnl"/>
        </w:rPr>
        <w:t xml:space="preserve">. </w:t>
      </w:r>
    </w:p>
    <w:p w:rsidR="00EB2542" w:rsidRDefault="00EB2542" w:rsidP="0040547E">
      <w:pPr>
        <w:tabs>
          <w:tab w:val="left" w:pos="2835"/>
        </w:tabs>
        <w:spacing w:before="240" w:after="240" w:line="360" w:lineRule="auto"/>
        <w:ind w:firstLine="709"/>
        <w:jc w:val="both"/>
        <w:rPr>
          <w:rFonts w:ascii="Arial" w:eastAsia="Calibri" w:hAnsi="Arial" w:cs="Arial"/>
          <w:sz w:val="24"/>
          <w:szCs w:val="24"/>
          <w:lang w:val="es-ES_tradnl"/>
        </w:rPr>
      </w:pPr>
    </w:p>
    <w:p w:rsidR="00280B64" w:rsidRDefault="00280B64" w:rsidP="00280B64">
      <w:pPr>
        <w:spacing w:after="0" w:line="360" w:lineRule="auto"/>
        <w:ind w:firstLine="709"/>
        <w:jc w:val="both"/>
        <w:rPr>
          <w:rFonts w:ascii="Arial" w:eastAsia="Calibri" w:hAnsi="Arial" w:cs="Arial"/>
          <w:sz w:val="24"/>
          <w:szCs w:val="24"/>
          <w:lang w:val="es-ES_tradnl"/>
        </w:rPr>
      </w:pPr>
      <w:r>
        <w:rPr>
          <w:rFonts w:ascii="Arial" w:eastAsia="Calibri" w:hAnsi="Arial" w:cs="Arial"/>
          <w:sz w:val="24"/>
          <w:szCs w:val="24"/>
          <w:lang w:val="es-ES_tradnl"/>
        </w:rPr>
        <w:t>En principio, corresponde calificar tales manifestaciones como inatendibles, pues se refieren a cuestiones ajenas a la litis de este juicio, que se contrae a dilucidar la legalidad del acto impugnado</w:t>
      </w:r>
      <w:r w:rsidR="0040547E">
        <w:rPr>
          <w:rFonts w:ascii="Arial" w:eastAsia="Calibri" w:hAnsi="Arial" w:cs="Arial"/>
          <w:sz w:val="24"/>
          <w:szCs w:val="24"/>
          <w:lang w:val="es-ES_tradnl"/>
        </w:rPr>
        <w:t>, sin que se hubiera señalado al nombramiento efectuado por la Junta de Gobierno del Organismo demandado, como tal. Por otra parte, atenderlos y estudiarlos, implicaría el estudio de cuestiones relativas a lo que el Derecho Mexicano y la Jurisprudencia han denominado como  “competencia de origen”, que no puede ser materia de estudio en este procedimiento.</w:t>
      </w:r>
    </w:p>
    <w:p w:rsidR="0040547E" w:rsidRDefault="0040547E" w:rsidP="00280B64">
      <w:pPr>
        <w:spacing w:after="0" w:line="360" w:lineRule="auto"/>
        <w:ind w:firstLine="709"/>
        <w:jc w:val="both"/>
        <w:rPr>
          <w:rFonts w:ascii="Arial" w:eastAsia="Calibri" w:hAnsi="Arial" w:cs="Arial"/>
          <w:sz w:val="24"/>
          <w:szCs w:val="24"/>
          <w:lang w:val="es-ES_tradnl"/>
        </w:rPr>
      </w:pPr>
    </w:p>
    <w:p w:rsidR="001A6CF6" w:rsidRDefault="0040547E" w:rsidP="00280B64">
      <w:pPr>
        <w:spacing w:after="0" w:line="360" w:lineRule="auto"/>
        <w:ind w:firstLine="709"/>
        <w:jc w:val="both"/>
        <w:rPr>
          <w:rFonts w:ascii="Arial" w:eastAsia="Times New Roman" w:hAnsi="Arial" w:cs="Arial"/>
          <w:sz w:val="24"/>
          <w:szCs w:val="24"/>
          <w:lang w:eastAsia="es-ES"/>
        </w:rPr>
      </w:pPr>
      <w:r>
        <w:rPr>
          <w:rFonts w:ascii="Arial" w:eastAsia="Calibri" w:hAnsi="Arial" w:cs="Arial"/>
          <w:sz w:val="24"/>
          <w:szCs w:val="24"/>
          <w:lang w:val="es-ES_tradnl"/>
        </w:rPr>
        <w:t xml:space="preserve">En efecto, si bien es cierto que el </w:t>
      </w:r>
      <w:r w:rsidR="001A6CF6">
        <w:rPr>
          <w:rFonts w:ascii="Arial" w:eastAsia="Calibri" w:hAnsi="Arial" w:cs="Arial"/>
          <w:sz w:val="24"/>
          <w:szCs w:val="24"/>
          <w:lang w:val="es-ES_tradnl"/>
        </w:rPr>
        <w:t xml:space="preserve">tercer párrafo del </w:t>
      </w:r>
      <w:r>
        <w:rPr>
          <w:rFonts w:ascii="Arial" w:eastAsia="Calibri" w:hAnsi="Arial" w:cs="Arial"/>
          <w:sz w:val="24"/>
          <w:szCs w:val="24"/>
          <w:lang w:val="es-ES_tradnl"/>
        </w:rPr>
        <w:t xml:space="preserve">artículo </w:t>
      </w:r>
      <w:r w:rsidR="001A6CF6">
        <w:rPr>
          <w:rFonts w:ascii="Arial" w:eastAsia="Calibri" w:hAnsi="Arial" w:cs="Arial"/>
          <w:sz w:val="24"/>
          <w:szCs w:val="24"/>
          <w:lang w:val="es-ES_tradnl"/>
        </w:rPr>
        <w:t xml:space="preserve">220 del Código </w:t>
      </w:r>
      <w:r w:rsidR="001A6CF6">
        <w:rPr>
          <w:rFonts w:ascii="Arial" w:eastAsia="Times New Roman" w:hAnsi="Arial" w:cs="Arial"/>
          <w:sz w:val="24"/>
          <w:szCs w:val="24"/>
          <w:lang w:eastAsia="es-ES"/>
        </w:rPr>
        <w:t>Procesal Administrativo para el Estado de San Luis Potosí, dispone que la personalidad de la autoridad demandada, se acreditará con la copia certificada del nombramiento conferido</w:t>
      </w:r>
      <w:r w:rsidR="009612FE">
        <w:rPr>
          <w:rFonts w:ascii="Arial" w:eastAsia="Times New Roman" w:hAnsi="Arial" w:cs="Arial"/>
          <w:sz w:val="24"/>
          <w:szCs w:val="24"/>
          <w:lang w:eastAsia="es-ES"/>
        </w:rPr>
        <w:t xml:space="preserve"> y el 221 de la misma codificación, dispone el análisis de oficio de la personalidad y legitimidad de las partes, por lo que esta debe ser atendida solo en el aspecto de la competencia de que quien comparece a juicio, cuenta </w:t>
      </w:r>
      <w:r w:rsidR="007B19A7">
        <w:rPr>
          <w:rFonts w:ascii="Arial" w:eastAsia="Times New Roman" w:hAnsi="Arial" w:cs="Arial"/>
          <w:sz w:val="24"/>
          <w:szCs w:val="24"/>
          <w:lang w:eastAsia="es-ES"/>
        </w:rPr>
        <w:t xml:space="preserve">con atribuciones conferidas a la entidad moral que se denomina “autoridad”, en el caso que nos ocupa el “Director General” y la “Directora de Comercialización” del Organismo demandado, y </w:t>
      </w:r>
      <w:r w:rsidR="007B19A7">
        <w:rPr>
          <w:rFonts w:ascii="Arial" w:eastAsia="Times New Roman" w:hAnsi="Arial" w:cs="Arial"/>
          <w:sz w:val="24"/>
          <w:szCs w:val="24"/>
          <w:lang w:eastAsia="es-ES"/>
        </w:rPr>
        <w:lastRenderedPageBreak/>
        <w:t>sin que se pueda examinar si en el momento de que se otorgaron tales nombramientos, se cometió cualquier tipo de irregularidad, pues entonces estaríamos analizando la llamada “competencia de origen”, en tanto que solo puede revisarse la competencia a que se refiere el artículo 16 Constitucional.</w:t>
      </w:r>
    </w:p>
    <w:p w:rsidR="007B19A7" w:rsidRDefault="007B19A7" w:rsidP="00280B64">
      <w:pPr>
        <w:spacing w:after="0" w:line="360" w:lineRule="auto"/>
        <w:ind w:firstLine="709"/>
        <w:jc w:val="both"/>
        <w:rPr>
          <w:rFonts w:ascii="Arial" w:eastAsia="Times New Roman" w:hAnsi="Arial" w:cs="Arial"/>
          <w:sz w:val="24"/>
          <w:szCs w:val="24"/>
          <w:lang w:eastAsia="es-ES"/>
        </w:rPr>
      </w:pPr>
    </w:p>
    <w:p w:rsidR="007B19A7" w:rsidRDefault="007B19A7" w:rsidP="00280B64">
      <w:pPr>
        <w:spacing w:after="0" w:line="360" w:lineRule="auto"/>
        <w:ind w:firstLine="709"/>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Luego entonces, en un juicio contencioso administrativo, el Magistrado Titular de esta Sala, sólo debe cerciorarse que las autoridades demandadas que comparecen a contestar la demanda, se encuentran legitimados para ello, en términos de la normativa específica que regule su actividad, sin que ello implique verificar la legitimidad de sus nombramientos como tales, es decir, sin que pueda para estos fines, verificar si en este caso, en el acto por medio del cual se otorgó nombramiento a los aquí demandados, </w:t>
      </w:r>
      <w:r w:rsidR="00D1478B">
        <w:rPr>
          <w:rFonts w:ascii="Arial" w:eastAsia="Times New Roman" w:hAnsi="Arial" w:cs="Arial"/>
          <w:sz w:val="24"/>
          <w:szCs w:val="24"/>
          <w:lang w:eastAsia="es-ES"/>
        </w:rPr>
        <w:t>se cumplió o no, con diversos requisitos formales, que la parte actora estima como necesarios.</w:t>
      </w:r>
    </w:p>
    <w:p w:rsidR="00D1478B" w:rsidRDefault="00D1478B" w:rsidP="00280B64">
      <w:pPr>
        <w:spacing w:after="0" w:line="360" w:lineRule="auto"/>
        <w:ind w:firstLine="709"/>
        <w:jc w:val="both"/>
        <w:rPr>
          <w:rFonts w:ascii="Arial" w:eastAsia="Times New Roman" w:hAnsi="Arial" w:cs="Arial"/>
          <w:sz w:val="24"/>
          <w:szCs w:val="24"/>
          <w:lang w:eastAsia="es-ES"/>
        </w:rPr>
      </w:pPr>
    </w:p>
    <w:p w:rsidR="00330B13" w:rsidRDefault="00D1478B" w:rsidP="00330B13">
      <w:pPr>
        <w:spacing w:after="0" w:line="360" w:lineRule="auto"/>
        <w:ind w:firstLine="709"/>
        <w:jc w:val="both"/>
        <w:rPr>
          <w:rFonts w:ascii="Arial" w:eastAsia="Times New Roman" w:hAnsi="Arial" w:cs="Arial"/>
          <w:sz w:val="24"/>
          <w:szCs w:val="24"/>
          <w:lang w:eastAsia="es-ES"/>
        </w:rPr>
      </w:pPr>
      <w:r>
        <w:rPr>
          <w:rFonts w:ascii="Arial" w:eastAsia="Times New Roman" w:hAnsi="Arial" w:cs="Arial"/>
          <w:sz w:val="24"/>
          <w:szCs w:val="24"/>
          <w:lang w:eastAsia="es-ES"/>
        </w:rPr>
        <w:t>A partir de esta premisa, el Magistrado Instructor, solo debe verificar s</w:t>
      </w:r>
      <w:r w:rsidR="00330B13">
        <w:rPr>
          <w:rFonts w:ascii="Arial" w:eastAsia="Times New Roman" w:hAnsi="Arial" w:cs="Arial"/>
          <w:sz w:val="24"/>
          <w:szCs w:val="24"/>
          <w:lang w:eastAsia="es-ES"/>
        </w:rPr>
        <w:t>i</w:t>
      </w:r>
      <w:r>
        <w:rPr>
          <w:rFonts w:ascii="Arial" w:eastAsia="Times New Roman" w:hAnsi="Arial" w:cs="Arial"/>
          <w:sz w:val="24"/>
          <w:szCs w:val="24"/>
          <w:lang w:eastAsia="es-ES"/>
        </w:rPr>
        <w:t xml:space="preserve"> la autoridad cuenta con facultades y legitimación para comparecer conforme a la norma aplicable, circunstancia que en el caso concreto, no es controvertida por la demandante, pues lo que pretende demostrar es la realización de ilegalidades en el nombramiento de los funcionarios demandados</w:t>
      </w:r>
      <w:r w:rsidR="00330B13">
        <w:rPr>
          <w:rFonts w:ascii="Arial" w:eastAsia="Times New Roman" w:hAnsi="Arial" w:cs="Arial"/>
          <w:sz w:val="24"/>
          <w:szCs w:val="24"/>
          <w:lang w:eastAsia="es-ES"/>
        </w:rPr>
        <w:t>.</w:t>
      </w:r>
    </w:p>
    <w:p w:rsidR="00330B13" w:rsidRDefault="00330B13" w:rsidP="00330B13">
      <w:pPr>
        <w:spacing w:after="0" w:line="360" w:lineRule="auto"/>
        <w:ind w:firstLine="709"/>
        <w:jc w:val="both"/>
        <w:rPr>
          <w:rFonts w:ascii="Arial" w:eastAsia="Times New Roman" w:hAnsi="Arial" w:cs="Arial"/>
          <w:sz w:val="24"/>
          <w:szCs w:val="24"/>
          <w:lang w:eastAsia="es-ES"/>
        </w:rPr>
      </w:pPr>
    </w:p>
    <w:p w:rsidR="00D762AA" w:rsidRDefault="00330B13" w:rsidP="00330B13">
      <w:pPr>
        <w:spacing w:after="0" w:line="360" w:lineRule="auto"/>
        <w:ind w:firstLine="709"/>
        <w:jc w:val="both"/>
        <w:rPr>
          <w:rFonts w:ascii="Arial" w:eastAsia="Calibri" w:hAnsi="Arial" w:cs="Arial"/>
          <w:sz w:val="24"/>
          <w:szCs w:val="24"/>
          <w:lang w:val="es-ES_tradnl"/>
        </w:rPr>
      </w:pPr>
      <w:r>
        <w:rPr>
          <w:rFonts w:ascii="Arial" w:eastAsia="Times New Roman" w:hAnsi="Arial" w:cs="Arial"/>
          <w:sz w:val="24"/>
          <w:szCs w:val="24"/>
          <w:lang w:eastAsia="es-ES"/>
        </w:rPr>
        <w:t xml:space="preserve">Luego entonces, basta con que en el caso concreto, el Magistrado Titular de esta Sala Unitaria, se haya cerciorado de que quienes comparecieron a contestar la demanda contaban con competencia para ello, lo que como ya se señaló anteriormente, no es tópico en controversia, pues no fue controvertido por la demandante y en el caso que nos ocupa, la competencia se concluye, en razón de que fue la Directora de Comercialización del Organismo demandado, quien fue señalada como autoridad demandada, por haber emitido el acto impugnado, quien contaba con legitimación para comparecer a juicio, lo que se demostró con las documentales que obran a fojas </w:t>
      </w:r>
      <w:r>
        <w:rPr>
          <w:rFonts w:ascii="Arial" w:eastAsia="Calibri" w:hAnsi="Arial" w:cs="Arial"/>
          <w:sz w:val="24"/>
          <w:szCs w:val="24"/>
          <w:lang w:val="es-ES_tradnl"/>
        </w:rPr>
        <w:t>87 a 94 y 100 de autos, concluyéndose que evidentemente dichos funcionarios pueden responder por la demanda que en su contra fue promovida ante esta instancia.</w:t>
      </w:r>
    </w:p>
    <w:p w:rsidR="00330B13" w:rsidRDefault="00330B13" w:rsidP="00330B13">
      <w:pPr>
        <w:spacing w:after="0" w:line="360" w:lineRule="auto"/>
        <w:ind w:firstLine="709"/>
        <w:jc w:val="both"/>
        <w:rPr>
          <w:rFonts w:ascii="Arial" w:eastAsia="Calibri" w:hAnsi="Arial" w:cs="Arial"/>
          <w:sz w:val="24"/>
          <w:szCs w:val="24"/>
          <w:lang w:val="es-ES_tradnl"/>
        </w:rPr>
      </w:pPr>
    </w:p>
    <w:p w:rsidR="00330B13" w:rsidRPr="00D762AA" w:rsidRDefault="00330B13" w:rsidP="00330B13">
      <w:pPr>
        <w:spacing w:after="0" w:line="360" w:lineRule="auto"/>
        <w:ind w:firstLine="709"/>
        <w:jc w:val="both"/>
        <w:rPr>
          <w:rFonts w:ascii="Arial Narrow" w:eastAsia="Times New Roman" w:hAnsi="Arial Narrow" w:cs="Arial Narrow"/>
          <w:color w:val="000000"/>
          <w:sz w:val="28"/>
          <w:szCs w:val="28"/>
          <w:lang w:eastAsia="es-ES"/>
        </w:rPr>
      </w:pPr>
      <w:r>
        <w:rPr>
          <w:rFonts w:ascii="Arial" w:eastAsia="Calibri" w:hAnsi="Arial" w:cs="Arial"/>
          <w:sz w:val="24"/>
          <w:szCs w:val="24"/>
          <w:lang w:val="es-ES_tradnl"/>
        </w:rPr>
        <w:t>Resultan aplicables por analogía del tema tratado, las siguientes tesis:</w:t>
      </w:r>
    </w:p>
    <w:p w:rsidR="00D762AA" w:rsidRPr="00D762AA" w:rsidRDefault="00D762AA" w:rsidP="00D762AA">
      <w:pPr>
        <w:autoSpaceDE w:val="0"/>
        <w:autoSpaceDN w:val="0"/>
        <w:adjustRightInd w:val="0"/>
        <w:spacing w:after="0" w:line="360" w:lineRule="atLeast"/>
        <w:jc w:val="both"/>
        <w:rPr>
          <w:rFonts w:ascii="Arial Narrow" w:eastAsia="Times New Roman" w:hAnsi="Arial Narrow" w:cs="Arial Narrow"/>
          <w:color w:val="000000"/>
          <w:sz w:val="28"/>
          <w:szCs w:val="28"/>
          <w:lang w:eastAsia="es-ES"/>
        </w:rPr>
      </w:pPr>
    </w:p>
    <w:p w:rsidR="00D762AA" w:rsidRPr="0097739C" w:rsidRDefault="00330B13" w:rsidP="00330B13">
      <w:pPr>
        <w:autoSpaceDE w:val="0"/>
        <w:autoSpaceDN w:val="0"/>
        <w:adjustRightInd w:val="0"/>
        <w:spacing w:after="0" w:line="240" w:lineRule="atLeast"/>
        <w:ind w:firstLine="708"/>
        <w:jc w:val="both"/>
        <w:rPr>
          <w:rFonts w:ascii="Arial Narrow" w:eastAsia="Batang" w:hAnsi="Arial Narrow" w:cs="Batang"/>
          <w:i/>
          <w:color w:val="000000"/>
          <w:lang w:eastAsia="es-ES"/>
        </w:rPr>
      </w:pPr>
      <w:r w:rsidRPr="0097739C">
        <w:rPr>
          <w:rFonts w:ascii="Arial Narrow" w:eastAsia="Batang" w:hAnsi="Arial Narrow" w:cs="Batang"/>
          <w:i/>
          <w:color w:val="000000"/>
          <w:lang w:eastAsia="es-ES"/>
        </w:rPr>
        <w:lastRenderedPageBreak/>
        <w:t>“</w:t>
      </w:r>
      <w:r w:rsidR="00D762AA" w:rsidRPr="0097739C">
        <w:rPr>
          <w:rFonts w:ascii="Arial Narrow" w:eastAsia="Batang" w:hAnsi="Arial Narrow" w:cs="Batang"/>
          <w:i/>
          <w:color w:val="000000"/>
          <w:lang w:eastAsia="es-ES"/>
        </w:rPr>
        <w:t>Novena Época-Registro: 187767.Instancia: Tribunales Colegiados de Circuito. Tesis. Aislada. Fuente: Semanario Judicial de la Federación y su Gaceta. Tomo: XV, Febrero de 2002. Materia(s): Administrativa. Tesis: I.8o.A.16 A. Página:   868</w:t>
      </w:r>
      <w:r w:rsidRPr="0097739C">
        <w:rPr>
          <w:rFonts w:ascii="Arial Narrow" w:eastAsia="Batang" w:hAnsi="Arial Narrow" w:cs="Batang"/>
          <w:i/>
          <w:color w:val="000000"/>
          <w:lang w:eastAsia="es-ES"/>
        </w:rPr>
        <w:t>.</w:t>
      </w:r>
    </w:p>
    <w:p w:rsidR="00D762AA" w:rsidRPr="0097739C" w:rsidRDefault="00D762AA" w:rsidP="00F452A0">
      <w:pPr>
        <w:autoSpaceDE w:val="0"/>
        <w:autoSpaceDN w:val="0"/>
        <w:adjustRightInd w:val="0"/>
        <w:spacing w:after="0" w:line="240" w:lineRule="atLeast"/>
        <w:jc w:val="both"/>
        <w:rPr>
          <w:rFonts w:ascii="Arial Narrow" w:eastAsia="Batang" w:hAnsi="Arial Narrow" w:cs="Batang"/>
          <w:i/>
          <w:color w:val="000000"/>
          <w:lang w:eastAsia="es-ES"/>
        </w:rPr>
      </w:pPr>
      <w:r w:rsidRPr="0097739C">
        <w:rPr>
          <w:rFonts w:ascii="Arial Narrow" w:eastAsia="Batang" w:hAnsi="Arial Narrow" w:cs="Batang"/>
          <w:b/>
          <w:bCs/>
          <w:i/>
          <w:color w:val="000000"/>
          <w:lang w:eastAsia="es-ES"/>
        </w:rPr>
        <w:t>LEGITIMACIÓN Y COMPETENCIA, NOCIONES DE LAS DIFERENCIAS EN LOS CONCEPTOS DE, EN LOS ACTOS ADMINISTRATIVOS.</w:t>
      </w:r>
      <w:r w:rsidR="00D73D6A" w:rsidRPr="0097739C">
        <w:rPr>
          <w:rFonts w:ascii="Arial Narrow" w:eastAsia="Batang" w:hAnsi="Arial Narrow" w:cs="Batang"/>
          <w:b/>
          <w:bCs/>
          <w:i/>
          <w:color w:val="000000"/>
          <w:lang w:eastAsia="es-ES"/>
        </w:rPr>
        <w:t xml:space="preserve"> </w:t>
      </w:r>
      <w:r w:rsidRPr="0097739C">
        <w:rPr>
          <w:rFonts w:ascii="Arial Narrow" w:eastAsia="Batang" w:hAnsi="Arial Narrow" w:cs="Batang"/>
          <w:i/>
          <w:color w:val="000000"/>
          <w:lang w:eastAsia="es-ES"/>
        </w:rPr>
        <w:t>Si en la vía constitucional se aduce que un servidor público carece de legitimación y competencia para actuar se hace menester precisar que, legitimidad y competencia son dos conceptos jurídicos esencialmente distintos, no obstante, los mismos pueden coexistir en una persona. En el caso de la competencia, ésta refiere a la suma de facultades que la ley le otorga al servidor para ejercer sus atribuciones y sólo se circunscriben en relación con la entidad moral que se denomina "autoridad", abstracción hecha de las cualidades del individuo, verbigracia, en el caso de un nombramiento hecho en términos legales a favor de alguien que reúna los requisitos impuestos por la ley, ello constituye la legitimidad de una autoridad y ésta a la vez puede legalmente ejercer su competencia. Por otra parte, la legitimidad se refiere a la persona, al individuo nombrado para desempeñar determinado cargo público. De lo anterior se puede comprender que existan autoridades legítimas que son incompetentes legalmente, porque habiendo sido nombradas satisfaciendo todos los requisitos impuestos por la ley, ésta no las autorice a realizar determinado acto o actúen fuera del territorio en que pueden hacerlo. Asimismo, pueden existir autoridades que siendo ilegítimas los actos que emanen de las mismas sean legales porque el órgano de quienes son sus titulares sí tenga competencia para actuar, sin que los tribunales de amparo puedan analizar la legitimación en esos términos, cualquiera que sea la irregularidad alegada (incompetencia de origen), ya que aquéllos sólo están vinculados al concepto de competencia en términos del artículo 16 de la Ley Suprema.</w:t>
      </w:r>
    </w:p>
    <w:p w:rsidR="00D762AA" w:rsidRPr="0097739C" w:rsidRDefault="00D762AA" w:rsidP="00D762AA">
      <w:pPr>
        <w:autoSpaceDE w:val="0"/>
        <w:autoSpaceDN w:val="0"/>
        <w:adjustRightInd w:val="0"/>
        <w:spacing w:after="0" w:line="240" w:lineRule="atLeast"/>
        <w:jc w:val="both"/>
        <w:rPr>
          <w:rFonts w:ascii="Arial Narrow" w:eastAsia="Batang" w:hAnsi="Arial Narrow" w:cs="Batang"/>
          <w:i/>
          <w:color w:val="000000"/>
          <w:lang w:eastAsia="es-ES"/>
        </w:rPr>
      </w:pPr>
      <w:r w:rsidRPr="0097739C">
        <w:rPr>
          <w:rFonts w:ascii="Arial Narrow" w:eastAsia="Batang" w:hAnsi="Arial Narrow" w:cs="Batang"/>
          <w:i/>
          <w:color w:val="000000"/>
          <w:lang w:eastAsia="es-ES"/>
        </w:rPr>
        <w:t>OCTAVO TRIBUNAL COLEGIADO EN MATERIA ADMINISTRATIVA DEL PRIMER CIRCUITO.</w:t>
      </w:r>
    </w:p>
    <w:p w:rsidR="00D762AA" w:rsidRPr="0097739C" w:rsidRDefault="00D762AA" w:rsidP="00D762AA">
      <w:pPr>
        <w:autoSpaceDE w:val="0"/>
        <w:autoSpaceDN w:val="0"/>
        <w:adjustRightInd w:val="0"/>
        <w:spacing w:after="0" w:line="240" w:lineRule="atLeast"/>
        <w:jc w:val="both"/>
        <w:rPr>
          <w:rFonts w:ascii="Arial Narrow" w:eastAsia="Batang" w:hAnsi="Arial Narrow" w:cs="Batang"/>
          <w:i/>
          <w:color w:val="000000"/>
          <w:lang w:eastAsia="es-ES"/>
        </w:rPr>
      </w:pPr>
      <w:r w:rsidRPr="0097739C">
        <w:rPr>
          <w:rFonts w:ascii="Arial Narrow" w:eastAsia="Batang" w:hAnsi="Arial Narrow" w:cs="Batang"/>
          <w:i/>
          <w:color w:val="000000"/>
          <w:lang w:eastAsia="es-ES"/>
        </w:rPr>
        <w:t xml:space="preserve">Amparo directo 2938/2000. Eduardo Tapia Valdés. 23 de enero de 2001. Unanimidad de votos. Ponente: María Guadalupe Saucedo Zavala. Secretario: David Rodríguez </w:t>
      </w:r>
      <w:proofErr w:type="spellStart"/>
      <w:r w:rsidRPr="0097739C">
        <w:rPr>
          <w:rFonts w:ascii="Arial Narrow" w:eastAsia="Batang" w:hAnsi="Arial Narrow" w:cs="Batang"/>
          <w:i/>
          <w:color w:val="000000"/>
          <w:lang w:eastAsia="es-ES"/>
        </w:rPr>
        <w:t>Matha</w:t>
      </w:r>
      <w:proofErr w:type="spellEnd"/>
      <w:r w:rsidRPr="0097739C">
        <w:rPr>
          <w:rFonts w:ascii="Arial Narrow" w:eastAsia="Batang" w:hAnsi="Arial Narrow" w:cs="Batang"/>
          <w:i/>
          <w:color w:val="000000"/>
          <w:lang w:eastAsia="es-ES"/>
        </w:rPr>
        <w:t>.</w:t>
      </w:r>
      <w:r w:rsidR="00D73D6A" w:rsidRPr="0097739C">
        <w:rPr>
          <w:rFonts w:ascii="Arial Narrow" w:eastAsia="Batang" w:hAnsi="Arial Narrow" w:cs="Batang"/>
          <w:i/>
          <w:color w:val="000000"/>
          <w:lang w:eastAsia="es-ES"/>
        </w:rPr>
        <w:t>”</w:t>
      </w:r>
    </w:p>
    <w:p w:rsidR="00D762AA" w:rsidRPr="0097739C" w:rsidRDefault="00D762AA" w:rsidP="00D762AA">
      <w:pPr>
        <w:autoSpaceDE w:val="0"/>
        <w:autoSpaceDN w:val="0"/>
        <w:adjustRightInd w:val="0"/>
        <w:spacing w:after="0" w:line="240" w:lineRule="atLeast"/>
        <w:jc w:val="both"/>
        <w:rPr>
          <w:rFonts w:ascii="Arial Narrow" w:eastAsia="Batang" w:hAnsi="Arial Narrow" w:cs="Batang"/>
          <w:i/>
          <w:color w:val="000000"/>
          <w:lang w:eastAsia="es-ES"/>
        </w:rPr>
      </w:pPr>
    </w:p>
    <w:p w:rsidR="00D762AA" w:rsidRPr="0097739C" w:rsidRDefault="00D73D6A" w:rsidP="00D762AA">
      <w:pPr>
        <w:autoSpaceDE w:val="0"/>
        <w:autoSpaceDN w:val="0"/>
        <w:adjustRightInd w:val="0"/>
        <w:spacing w:after="0" w:line="240" w:lineRule="atLeast"/>
        <w:jc w:val="both"/>
        <w:rPr>
          <w:rFonts w:ascii="Arial Narrow" w:eastAsia="Batang" w:hAnsi="Arial Narrow" w:cs="Batang"/>
          <w:i/>
          <w:color w:val="000000"/>
          <w:lang w:eastAsia="es-ES"/>
        </w:rPr>
      </w:pPr>
      <w:r w:rsidRPr="0097739C">
        <w:rPr>
          <w:rFonts w:ascii="Arial Narrow" w:eastAsia="Batang" w:hAnsi="Arial Narrow" w:cs="Batang"/>
          <w:i/>
          <w:color w:val="000000"/>
          <w:lang w:eastAsia="es-ES"/>
        </w:rPr>
        <w:t>“</w:t>
      </w:r>
      <w:r w:rsidR="00D762AA" w:rsidRPr="0097739C">
        <w:rPr>
          <w:rFonts w:ascii="Arial Narrow" w:eastAsia="Batang" w:hAnsi="Arial Narrow" w:cs="Batang"/>
          <w:b/>
          <w:bCs/>
          <w:i/>
          <w:color w:val="000000"/>
          <w:lang w:eastAsia="es-ES"/>
        </w:rPr>
        <w:t>QUERELLA FORMULADA POR UN SERVIDOR PÚBLICO. PARA EFECTOS DE VERIFICAR SU LEGITIMACIÓN, EL MINISTERIO PÚBLICO SÓLO DEBE CERCIORARSE DE QUE LA LEGISLACIÓN APLICABLE SE LO PERMITA, SIN QUE ELLO IMPLIQUE ANALIZAR LAS FACULTADES DE QUIEN LE OTORGÓ SU NOMBRAMIENTO.</w:t>
      </w:r>
      <w:r w:rsidRPr="0097739C">
        <w:rPr>
          <w:rFonts w:ascii="Arial Narrow" w:eastAsia="Batang" w:hAnsi="Arial Narrow" w:cs="Batang"/>
          <w:b/>
          <w:bCs/>
          <w:i/>
          <w:color w:val="000000"/>
          <w:lang w:eastAsia="es-ES"/>
        </w:rPr>
        <w:t xml:space="preserve">- </w:t>
      </w:r>
      <w:r w:rsidR="00D762AA" w:rsidRPr="0097739C">
        <w:rPr>
          <w:rFonts w:ascii="Arial Narrow" w:eastAsia="Batang" w:hAnsi="Arial Narrow" w:cs="Batang"/>
          <w:i/>
          <w:color w:val="000000"/>
          <w:lang w:eastAsia="es-ES"/>
        </w:rPr>
        <w:t xml:space="preserve">La presentación debida de la querella es un presupuesto procesal indispensable en los delitos perseguibles a petición de parte, por lo que es evidente que cuando un servidor público la formule, el Ministerio Público, para poder ejercitar la acción penal, sólo debe cerciorarse de que aquél está legitimado para ello en términos de la normativa específica que regule su actividad, sin que ello implique verificar la legitimidad de su nombramiento como tal, esto es, si el funcionario que lo designó en el cargo estaba facultado para hacerlo, pues ese requisito no lo exige el artículo 119 del Código Federal de Procedimientos Penales, el cual sólo obliga a la representación social </w:t>
      </w:r>
      <w:proofErr w:type="spellStart"/>
      <w:r w:rsidR="00D762AA" w:rsidRPr="0097739C">
        <w:rPr>
          <w:rFonts w:ascii="Arial Narrow" w:eastAsia="Batang" w:hAnsi="Arial Narrow" w:cs="Batang"/>
          <w:i/>
          <w:color w:val="000000"/>
          <w:lang w:eastAsia="es-ES"/>
        </w:rPr>
        <w:t>recepcionaria</w:t>
      </w:r>
      <w:proofErr w:type="spellEnd"/>
      <w:r w:rsidR="00D762AA" w:rsidRPr="0097739C">
        <w:rPr>
          <w:rFonts w:ascii="Arial Narrow" w:eastAsia="Batang" w:hAnsi="Arial Narrow" w:cs="Batang"/>
          <w:i/>
          <w:color w:val="000000"/>
          <w:lang w:eastAsia="es-ES"/>
        </w:rPr>
        <w:t xml:space="preserve"> de una querella por escrito a que se cerciore de la identidad del querellante, de que éste está legitimado para formular querellas, y de la autenticidad de los documentos en que aparezca formulada y en los que se apoye ésta; de ahí que baste con que la legislación aplicable le permita al servidor público formular querella para que se tenga por cumplido el requisito de la legitimación.</w:t>
      </w:r>
    </w:p>
    <w:p w:rsidR="00D762AA" w:rsidRPr="0097739C" w:rsidRDefault="00D762AA" w:rsidP="00D762AA">
      <w:pPr>
        <w:autoSpaceDE w:val="0"/>
        <w:autoSpaceDN w:val="0"/>
        <w:adjustRightInd w:val="0"/>
        <w:spacing w:after="0" w:line="240" w:lineRule="atLeast"/>
        <w:jc w:val="both"/>
        <w:rPr>
          <w:rFonts w:ascii="Arial Narrow" w:eastAsia="Batang" w:hAnsi="Arial Narrow" w:cs="Batang"/>
          <w:i/>
          <w:color w:val="000000"/>
          <w:lang w:eastAsia="es-ES"/>
        </w:rPr>
      </w:pPr>
      <w:r w:rsidRPr="0097739C">
        <w:rPr>
          <w:rFonts w:ascii="Arial Narrow" w:eastAsia="Batang" w:hAnsi="Arial Narrow" w:cs="Batang"/>
          <w:i/>
          <w:color w:val="000000"/>
          <w:lang w:eastAsia="es-ES"/>
        </w:rPr>
        <w:t>Contradicción de tesis 16/2005-PS. Entre las sustentadas por el Primer Tribunal Colegiado en Materia Penal del Cuarto Circuito, el Primer Tribunal Colegiado en Materia Penal del Tercer Circuito y el Segundo Tribunal Colegiado en Materia Penal del Tercer Circuito. 8 de junio de 2005. Cinco votos. Ponente: Juan N. Silva Meza. Secretario: Roberto Ávila Ornelas.</w:t>
      </w:r>
    </w:p>
    <w:p w:rsidR="00D762AA" w:rsidRPr="0097739C" w:rsidRDefault="00D762AA" w:rsidP="00D762AA">
      <w:pPr>
        <w:autoSpaceDE w:val="0"/>
        <w:autoSpaceDN w:val="0"/>
        <w:adjustRightInd w:val="0"/>
        <w:spacing w:after="0" w:line="240" w:lineRule="atLeast"/>
        <w:jc w:val="both"/>
        <w:rPr>
          <w:rFonts w:ascii="Arial Narrow" w:eastAsia="Batang" w:hAnsi="Arial Narrow" w:cs="Batang"/>
          <w:i/>
          <w:color w:val="000000"/>
          <w:lang w:eastAsia="es-ES"/>
        </w:rPr>
      </w:pPr>
      <w:r w:rsidRPr="0097739C">
        <w:rPr>
          <w:rFonts w:ascii="Arial Narrow" w:eastAsia="Batang" w:hAnsi="Arial Narrow" w:cs="Batang"/>
          <w:i/>
          <w:color w:val="000000"/>
          <w:lang w:eastAsia="es-ES"/>
        </w:rPr>
        <w:t>Tesis de jurisprudencia 70/2005. Aprobada por la Primera Sala de este Alto Tribunal, en sesión de fecha ocho de junio de dos mil cinco.</w:t>
      </w:r>
      <w:r w:rsidR="00D73D6A" w:rsidRPr="0097739C">
        <w:rPr>
          <w:rFonts w:ascii="Arial Narrow" w:eastAsia="Batang" w:hAnsi="Arial Narrow" w:cs="Batang"/>
          <w:i/>
          <w:color w:val="000000"/>
          <w:lang w:eastAsia="es-ES"/>
        </w:rPr>
        <w:t>”</w:t>
      </w:r>
    </w:p>
    <w:p w:rsidR="00D762AA" w:rsidRPr="0097739C" w:rsidRDefault="00D762AA" w:rsidP="00D762AA">
      <w:pPr>
        <w:autoSpaceDE w:val="0"/>
        <w:autoSpaceDN w:val="0"/>
        <w:adjustRightInd w:val="0"/>
        <w:spacing w:after="0" w:line="240" w:lineRule="atLeast"/>
        <w:jc w:val="both"/>
        <w:rPr>
          <w:rFonts w:ascii="Arial Narrow" w:eastAsia="Batang" w:hAnsi="Arial Narrow" w:cs="Batang"/>
          <w:i/>
          <w:color w:val="000000"/>
          <w:lang w:eastAsia="es-ES"/>
        </w:rPr>
      </w:pPr>
    </w:p>
    <w:p w:rsidR="00D762AA" w:rsidRPr="0097739C" w:rsidRDefault="00D73D6A" w:rsidP="00D762AA">
      <w:pPr>
        <w:autoSpaceDE w:val="0"/>
        <w:autoSpaceDN w:val="0"/>
        <w:adjustRightInd w:val="0"/>
        <w:spacing w:after="0" w:line="240" w:lineRule="atLeast"/>
        <w:jc w:val="both"/>
        <w:rPr>
          <w:rFonts w:ascii="Arial Narrow" w:eastAsia="Batang" w:hAnsi="Arial Narrow" w:cs="Batang"/>
          <w:i/>
          <w:color w:val="000000"/>
          <w:lang w:eastAsia="es-ES"/>
        </w:rPr>
      </w:pPr>
      <w:r w:rsidRPr="0097739C">
        <w:rPr>
          <w:rFonts w:ascii="Arial Narrow" w:eastAsia="Batang" w:hAnsi="Arial Narrow" w:cs="Batang"/>
          <w:b/>
          <w:bCs/>
          <w:i/>
          <w:color w:val="000000"/>
          <w:lang w:eastAsia="es-ES"/>
        </w:rPr>
        <w:t>“</w:t>
      </w:r>
      <w:r w:rsidR="00D762AA" w:rsidRPr="0097739C">
        <w:rPr>
          <w:rFonts w:ascii="Arial Narrow" w:eastAsia="Batang" w:hAnsi="Arial Narrow" w:cs="Batang"/>
          <w:b/>
          <w:bCs/>
          <w:i/>
          <w:color w:val="000000"/>
          <w:lang w:eastAsia="es-ES"/>
        </w:rPr>
        <w:t>LEGITIMACIÓN PROCESAL ACTIVA DEL QUERELLANTE. NO ES MATERIA DEL JUICIO DE AMPARO EL ESTUDIO DE LA VALIDEZ DEL NOMBRAMIENTO QUE OTORGA EL SECRETARIO DE HACIENDA Y CRÉDITO PÚBLICO AL SUBPROCURADOR FISCAL FEDERAL DE INVESTIGACIONES DE LA PROCURADURÍA FISCAL DE LA FEDERACIÓN, QUE ACTÚA EN REPRESENTACIÓN DEL TITULAR DEL DERECHO EN CONFLICTO PARA FORMULAR UNA QUERELLA, POR TRATARSE DE UNA CUESTIÓN DE COMPETENCIA DE ORIGEN</w:t>
      </w:r>
      <w:r w:rsidR="00D762AA" w:rsidRPr="0097739C">
        <w:rPr>
          <w:rFonts w:ascii="Arial Narrow" w:eastAsia="Batang" w:hAnsi="Arial Narrow" w:cs="Batang"/>
          <w:i/>
          <w:color w:val="000000"/>
          <w:lang w:eastAsia="es-ES"/>
        </w:rPr>
        <w:t>.</w:t>
      </w:r>
      <w:r w:rsidRPr="0097739C">
        <w:rPr>
          <w:rFonts w:ascii="Arial Narrow" w:eastAsia="Batang" w:hAnsi="Arial Narrow" w:cs="Batang"/>
          <w:i/>
          <w:color w:val="000000"/>
          <w:lang w:eastAsia="es-ES"/>
        </w:rPr>
        <w:t xml:space="preserve"> </w:t>
      </w:r>
      <w:r w:rsidR="00D762AA" w:rsidRPr="0097739C">
        <w:rPr>
          <w:rFonts w:ascii="Arial Narrow" w:eastAsia="Batang" w:hAnsi="Arial Narrow" w:cs="Batang"/>
          <w:i/>
          <w:color w:val="000000"/>
          <w:lang w:eastAsia="es-ES"/>
        </w:rPr>
        <w:t xml:space="preserve">La legitimación activa del querellante es un presupuesto procesal indispensable para que el Ministerio Público pueda ejercitar la acción penal en los delitos perseguibles a petición de parte; por ello, de conformidad con lo dispuesto por los numerales 118 y 119 del Código Federal de Procedimientos Penales, tiene la obligación de revisar, como en el caso, que el subprocurador fiscal federal de Investigaciones de la Procuraduría Fiscal de la Federación cuenta con la representación del titular del derecho en conflicto para formular la querella, empero, ello no se extiende hasta permitir que verifique si el secretario de Hacienda y Crédito Público tiene la facultad para designar al servidor público que se querelló, pues ello involucra lo concerniente a la competencia de origen, aspecto en el que no se puede intervenir por tratarse de un tema político como lo es la designación de servidores públicos y la forma en que se incorporan a la función pública, lo que significa que para apreciar si el querellante posee legitimación activa, basta con atender lo que establece el artículo 81 del Reglamento Interior de </w:t>
      </w:r>
      <w:r w:rsidR="00D762AA" w:rsidRPr="0097739C">
        <w:rPr>
          <w:rFonts w:ascii="Arial Narrow" w:eastAsia="Batang" w:hAnsi="Arial Narrow" w:cs="Batang"/>
          <w:i/>
          <w:color w:val="000000"/>
          <w:lang w:eastAsia="es-ES"/>
        </w:rPr>
        <w:lastRenderedPageBreak/>
        <w:t>la Secretaría de Hacienda y Crédito Público que, en lo que interesa, dice: "Compete a la Subprocuraduría Fiscal Federal de Investigaciones: ... IV. Formular y presentar las peticiones, así como denunciar o querellarse por la comisión de los delitos previstos en las leyes que rigen a las instituciones de crédito ..."; además, cerciorarse de su identidad, por ejemplo, corroborar con la copia certificada del nombramiento expedido a su favor por el titular de la dependencia o con la credencial en donde aparece su cargo, pues de considerar lo contrario, en el sentido de que el subprocurador carece de legitimación porque no demostró que el secretario de Hacienda y Crédito Público tiene facultades para expedir su nombramiento, implica que el tribunal de amparo emprenda el estudio de una cuestión que no puede hacer en el juicio de garantías, como lo es la validez de un nombramiento (competencia de origen).</w:t>
      </w:r>
    </w:p>
    <w:p w:rsidR="00D762AA" w:rsidRPr="0097739C" w:rsidRDefault="00D762AA" w:rsidP="00D762AA">
      <w:pPr>
        <w:autoSpaceDE w:val="0"/>
        <w:autoSpaceDN w:val="0"/>
        <w:adjustRightInd w:val="0"/>
        <w:spacing w:after="0" w:line="240" w:lineRule="atLeast"/>
        <w:jc w:val="both"/>
        <w:rPr>
          <w:rFonts w:ascii="Arial Narrow" w:eastAsia="Batang" w:hAnsi="Arial Narrow" w:cs="Batang"/>
          <w:i/>
          <w:color w:val="000000"/>
          <w:lang w:eastAsia="es-ES"/>
        </w:rPr>
      </w:pPr>
      <w:r w:rsidRPr="0097739C">
        <w:rPr>
          <w:rFonts w:ascii="Arial Narrow" w:eastAsia="Batang" w:hAnsi="Arial Narrow" w:cs="Batang"/>
          <w:i/>
          <w:color w:val="000000"/>
          <w:lang w:eastAsia="es-ES"/>
        </w:rPr>
        <w:t>SEGUNDO TRIBUNAL COLEGIADO EN MATERIA PENAL DEL TERCER CIRCUITO.</w:t>
      </w:r>
    </w:p>
    <w:p w:rsidR="00D762AA" w:rsidRPr="0097739C" w:rsidRDefault="00D762AA" w:rsidP="00D762AA">
      <w:pPr>
        <w:autoSpaceDE w:val="0"/>
        <w:autoSpaceDN w:val="0"/>
        <w:adjustRightInd w:val="0"/>
        <w:spacing w:after="0" w:line="240" w:lineRule="atLeast"/>
        <w:jc w:val="both"/>
        <w:rPr>
          <w:rFonts w:ascii="Arial Narrow" w:eastAsia="Batang" w:hAnsi="Arial Narrow" w:cs="Batang"/>
          <w:i/>
          <w:color w:val="000000"/>
          <w:lang w:eastAsia="es-ES"/>
        </w:rPr>
      </w:pPr>
      <w:r w:rsidRPr="0097739C">
        <w:rPr>
          <w:rFonts w:ascii="Arial Narrow" w:eastAsia="Batang" w:hAnsi="Arial Narrow" w:cs="Batang"/>
          <w:i/>
          <w:color w:val="000000"/>
          <w:lang w:eastAsia="es-ES"/>
        </w:rPr>
        <w:t>Amparo en revisión 189/2004. 19 de octubre de 2004. Unanimidad de votos. Ponente: Jorge Humberto Benítez Pimienta. Secretaria: Elsa Beatriz Navarro López.</w:t>
      </w:r>
      <w:r w:rsidR="00D73D6A" w:rsidRPr="0097739C">
        <w:rPr>
          <w:rFonts w:ascii="Arial Narrow" w:eastAsia="Batang" w:hAnsi="Arial Narrow" w:cs="Batang"/>
          <w:i/>
          <w:color w:val="000000"/>
          <w:lang w:eastAsia="es-ES"/>
        </w:rPr>
        <w:t>”</w:t>
      </w:r>
    </w:p>
    <w:p w:rsidR="00D762AA" w:rsidRPr="0097739C" w:rsidRDefault="00D762AA" w:rsidP="00D762AA">
      <w:pPr>
        <w:autoSpaceDE w:val="0"/>
        <w:autoSpaceDN w:val="0"/>
        <w:adjustRightInd w:val="0"/>
        <w:spacing w:after="0" w:line="360" w:lineRule="atLeast"/>
        <w:jc w:val="both"/>
        <w:rPr>
          <w:rFonts w:ascii="Arial Narrow" w:eastAsia="Batang" w:hAnsi="Arial Narrow" w:cs="Batang"/>
          <w:color w:val="000000"/>
          <w:sz w:val="28"/>
          <w:szCs w:val="28"/>
          <w:lang w:eastAsia="es-ES"/>
        </w:rPr>
      </w:pPr>
    </w:p>
    <w:p w:rsidR="00AD5BC9" w:rsidRDefault="00AD7D7A" w:rsidP="00AD7D7A">
      <w:pPr>
        <w:spacing w:after="0" w:line="360" w:lineRule="auto"/>
        <w:ind w:firstLine="709"/>
        <w:jc w:val="both"/>
        <w:rPr>
          <w:rFonts w:ascii="Arial" w:eastAsia="Calibri" w:hAnsi="Arial" w:cs="Arial"/>
          <w:sz w:val="24"/>
          <w:szCs w:val="24"/>
          <w:lang w:val="es-MX"/>
        </w:rPr>
      </w:pPr>
      <w:r w:rsidRPr="00AD7D7A">
        <w:rPr>
          <w:rFonts w:ascii="Arial" w:eastAsia="Calibri" w:hAnsi="Arial" w:cs="Arial"/>
          <w:b/>
          <w:sz w:val="24"/>
          <w:szCs w:val="24"/>
          <w:lang w:val="es-ES_tradnl"/>
        </w:rPr>
        <w:t>TERCERO.-</w:t>
      </w:r>
      <w:r w:rsidRPr="00AD7D7A">
        <w:rPr>
          <w:rFonts w:ascii="Arial" w:eastAsia="Calibri" w:hAnsi="Arial" w:cs="Arial"/>
          <w:sz w:val="24"/>
          <w:szCs w:val="24"/>
          <w:lang w:val="es-ES_tradnl"/>
        </w:rPr>
        <w:t xml:space="preserve"> La litis planteada en este juicio contencioso administrativo, es la legalidad o ilegalidad del acto impugnado, que la parte actora, hace consistir en:</w:t>
      </w:r>
      <w:r w:rsidRPr="00AD7D7A">
        <w:rPr>
          <w:rFonts w:ascii="Arial" w:eastAsia="Calibri" w:hAnsi="Arial" w:cs="Arial"/>
          <w:sz w:val="24"/>
          <w:szCs w:val="24"/>
          <w:lang w:val="es-MX"/>
        </w:rPr>
        <w:t xml:space="preserve"> </w:t>
      </w:r>
      <w:r w:rsidR="00AD5BC9" w:rsidRPr="00AD7D7A">
        <w:rPr>
          <w:rFonts w:ascii="Arial" w:eastAsia="Times New Roman" w:hAnsi="Arial" w:cs="Arial"/>
          <w:i/>
          <w:lang w:eastAsia="es-ES"/>
        </w:rPr>
        <w:t>“</w:t>
      </w:r>
      <w:r w:rsidR="00AD5BC9">
        <w:rPr>
          <w:rFonts w:ascii="Arial" w:eastAsia="Times New Roman" w:hAnsi="Arial" w:cs="Arial"/>
          <w:i/>
          <w:lang w:eastAsia="es-ES"/>
        </w:rPr>
        <w:t xml:space="preserve">El oficio: </w:t>
      </w:r>
      <w:r w:rsidR="00944696">
        <w:rPr>
          <w:rFonts w:ascii="Arial" w:eastAsia="Times New Roman" w:hAnsi="Arial" w:cs="Arial"/>
          <w:i/>
          <w:color w:val="FF0000"/>
          <w:lang w:eastAsia="es-ES"/>
        </w:rPr>
        <w:t>**********</w:t>
      </w:r>
      <w:r w:rsidR="00AD5BC9">
        <w:rPr>
          <w:rFonts w:ascii="Arial" w:eastAsia="Times New Roman" w:hAnsi="Arial" w:cs="Arial"/>
          <w:i/>
          <w:lang w:eastAsia="es-ES"/>
        </w:rPr>
        <w:t xml:space="preserve">, de 21 de diciembre del 2017, emitido por la C. Directora de Comercialización del Organismo Intermunicipal Metropolitano de Agua Potable, Alcantarillado, Saneamiento y Servicios Conexos de los Municipios de Cerro de San Pedro, San Luis Potosí y Soledad de Graciano Sánchez (INTERAPAS), en el que dan a conocer las fechas de muestreo del 4to. Trimestre del 2013 al 3er trimestre de 2017, expresando los resultados de la aplicación del artículo 7 de las Tarifas y Cuotas en Materia de Saneamiento, en cantidad de </w:t>
      </w:r>
      <w:r w:rsidR="00944696">
        <w:rPr>
          <w:rFonts w:ascii="Arial" w:eastAsia="Times New Roman" w:hAnsi="Arial" w:cs="Arial"/>
          <w:i/>
          <w:color w:val="FF0000"/>
          <w:lang w:eastAsia="es-ES"/>
        </w:rPr>
        <w:t>**********</w:t>
      </w:r>
      <w:r w:rsidR="00AD5BC9">
        <w:rPr>
          <w:rFonts w:ascii="Arial" w:eastAsia="Times New Roman" w:hAnsi="Arial" w:cs="Arial"/>
          <w:i/>
          <w:lang w:eastAsia="es-ES"/>
        </w:rPr>
        <w:t xml:space="preserve">, con los fundamentos y motivos que no se habían expresado en el oficio que le antecede </w:t>
      </w:r>
      <w:r w:rsidR="00944696">
        <w:rPr>
          <w:rFonts w:ascii="Arial" w:eastAsia="Times New Roman" w:hAnsi="Arial" w:cs="Arial"/>
          <w:i/>
          <w:color w:val="FF0000"/>
          <w:lang w:eastAsia="es-ES"/>
        </w:rPr>
        <w:t>**********</w:t>
      </w:r>
      <w:r w:rsidR="00AD5BC9">
        <w:rPr>
          <w:rFonts w:ascii="Arial" w:eastAsia="Times New Roman" w:hAnsi="Arial" w:cs="Arial"/>
          <w:i/>
          <w:lang w:eastAsia="es-ES"/>
        </w:rPr>
        <w:t xml:space="preserve">de 27 de noviembre del 2017, emitido por la C. Directora de Comercialización del Organismo Intermunicipal Metropolitano de Agua Potable, Alcantarillado, Saneamiento y Servicios Conexos de los Municipios de Cerro de San Pedro, San Luis Potosí y Soledad de Graciano Sánchez (INTERAPAS), con el que determina el mismo adeudo por descarga de contaminantes a la red de drenaje municipal del 4to. </w:t>
      </w:r>
      <w:proofErr w:type="gramStart"/>
      <w:r w:rsidR="00AD5BC9">
        <w:rPr>
          <w:rFonts w:ascii="Arial" w:eastAsia="Times New Roman" w:hAnsi="Arial" w:cs="Arial"/>
          <w:i/>
          <w:lang w:eastAsia="es-ES"/>
        </w:rPr>
        <w:t>trimestre</w:t>
      </w:r>
      <w:proofErr w:type="gramEnd"/>
      <w:r w:rsidR="00AD5BC9">
        <w:rPr>
          <w:rFonts w:ascii="Arial" w:eastAsia="Times New Roman" w:hAnsi="Arial" w:cs="Arial"/>
          <w:i/>
          <w:lang w:eastAsia="es-ES"/>
        </w:rPr>
        <w:t xml:space="preserve"> del 2013 al 3er trimestre de 2017, por la cantidad igual de </w:t>
      </w:r>
      <w:r w:rsidR="00944696">
        <w:rPr>
          <w:rFonts w:ascii="Arial" w:eastAsia="Times New Roman" w:hAnsi="Arial" w:cs="Arial"/>
          <w:i/>
          <w:color w:val="FF0000"/>
          <w:lang w:eastAsia="es-ES"/>
        </w:rPr>
        <w:t>**********</w:t>
      </w:r>
      <w:r w:rsidR="00AD5BC9">
        <w:rPr>
          <w:rFonts w:ascii="Arial" w:eastAsia="Times New Roman" w:hAnsi="Arial" w:cs="Arial"/>
          <w:i/>
          <w:lang w:eastAsia="es-ES"/>
        </w:rPr>
        <w:t>, por lo que hasta la fecha en que fue del conocimiento de la demandante el documento primeramente mencionado, que fue el último dictado en el procedimiento administrativo, es el que asume el carácter de definitivo, por ser la sucesión legalmente ordenada de hechos y actos tendentes al nacimiento de una decisión final materialmente administrativa.”</w:t>
      </w:r>
      <w:r w:rsidR="00AD5BC9" w:rsidRPr="00AD7D7A">
        <w:rPr>
          <w:rFonts w:ascii="Arial" w:eastAsia="Times New Roman" w:hAnsi="Arial" w:cs="Arial"/>
          <w:sz w:val="24"/>
          <w:szCs w:val="24"/>
          <w:lang w:eastAsia="es-ES"/>
        </w:rPr>
        <w:t>;</w:t>
      </w:r>
    </w:p>
    <w:p w:rsidR="00AD5BC9" w:rsidRDefault="00AD5BC9" w:rsidP="00AD7D7A">
      <w:pPr>
        <w:spacing w:after="0" w:line="360" w:lineRule="auto"/>
        <w:ind w:firstLine="709"/>
        <w:jc w:val="both"/>
        <w:rPr>
          <w:rFonts w:ascii="Arial" w:eastAsia="Calibri" w:hAnsi="Arial" w:cs="Arial"/>
          <w:sz w:val="24"/>
          <w:szCs w:val="24"/>
          <w:lang w:val="es-MX"/>
        </w:rPr>
      </w:pPr>
    </w:p>
    <w:p w:rsidR="00AD7D7A" w:rsidRPr="00AD7D7A" w:rsidRDefault="00AD7D7A" w:rsidP="00AD7D7A">
      <w:pPr>
        <w:spacing w:after="0" w:line="360" w:lineRule="auto"/>
        <w:ind w:firstLine="709"/>
        <w:jc w:val="both"/>
        <w:rPr>
          <w:rFonts w:ascii="Arial" w:eastAsia="Calibri" w:hAnsi="Arial" w:cs="Arial"/>
          <w:sz w:val="24"/>
          <w:szCs w:val="24"/>
          <w:lang w:val="es-ES_tradnl"/>
        </w:rPr>
      </w:pPr>
      <w:r w:rsidRPr="00AD7D7A">
        <w:rPr>
          <w:rFonts w:ascii="Arial" w:eastAsia="Calibri" w:hAnsi="Arial" w:cs="Arial"/>
          <w:sz w:val="24"/>
          <w:szCs w:val="24"/>
          <w:lang w:val="es-ES_tradnl"/>
        </w:rPr>
        <w:t>La pretensión del actor, es la anulación de</w:t>
      </w:r>
      <w:r w:rsidR="00AD5BC9">
        <w:rPr>
          <w:rFonts w:ascii="Arial" w:eastAsia="Calibri" w:hAnsi="Arial" w:cs="Arial"/>
          <w:sz w:val="24"/>
          <w:szCs w:val="24"/>
          <w:lang w:val="es-ES_tradnl"/>
        </w:rPr>
        <w:t>l acto controvertido</w:t>
      </w:r>
      <w:r w:rsidRPr="00AD7D7A">
        <w:rPr>
          <w:rFonts w:ascii="Arial" w:eastAsia="Calibri" w:hAnsi="Arial" w:cs="Arial"/>
          <w:sz w:val="24"/>
          <w:szCs w:val="24"/>
          <w:lang w:val="es-ES_tradnl"/>
        </w:rPr>
        <w:t>.</w:t>
      </w:r>
    </w:p>
    <w:p w:rsidR="00AD7D7A" w:rsidRPr="00AD7D7A" w:rsidRDefault="00AD7D7A" w:rsidP="00AD7D7A">
      <w:pPr>
        <w:spacing w:after="0" w:line="360" w:lineRule="auto"/>
        <w:ind w:firstLine="709"/>
        <w:jc w:val="both"/>
        <w:rPr>
          <w:rFonts w:ascii="Arial" w:eastAsia="Calibri" w:hAnsi="Arial" w:cs="Arial"/>
          <w:sz w:val="24"/>
          <w:szCs w:val="24"/>
          <w:lang w:val="es-ES_tradnl"/>
        </w:rPr>
      </w:pPr>
    </w:p>
    <w:p w:rsidR="00B35EA7" w:rsidRPr="004524DE" w:rsidRDefault="00AD7D7A" w:rsidP="00B35EA7">
      <w:pPr>
        <w:spacing w:after="0" w:line="360" w:lineRule="auto"/>
        <w:ind w:firstLine="709"/>
        <w:jc w:val="both"/>
        <w:rPr>
          <w:rFonts w:ascii="Arial" w:eastAsia="Calibri" w:hAnsi="Arial" w:cs="Arial"/>
          <w:sz w:val="24"/>
          <w:szCs w:val="24"/>
        </w:rPr>
      </w:pPr>
      <w:r w:rsidRPr="00AD7D7A">
        <w:rPr>
          <w:rFonts w:ascii="Arial" w:eastAsia="Calibri" w:hAnsi="Arial" w:cs="Arial"/>
          <w:b/>
          <w:sz w:val="24"/>
          <w:szCs w:val="24"/>
          <w:lang w:val="es-ES_tradnl"/>
        </w:rPr>
        <w:t>CUARTO.-</w:t>
      </w:r>
      <w:r w:rsidRPr="00AD7D7A">
        <w:rPr>
          <w:rFonts w:ascii="Arial" w:eastAsia="Calibri" w:hAnsi="Arial" w:cs="Arial"/>
          <w:sz w:val="24"/>
          <w:szCs w:val="24"/>
          <w:lang w:val="es-ES_tradnl"/>
        </w:rPr>
        <w:t xml:space="preserve"> </w:t>
      </w:r>
      <w:r w:rsidR="00B35EA7" w:rsidRPr="004524DE">
        <w:rPr>
          <w:rFonts w:ascii="Arial" w:eastAsia="Calibri" w:hAnsi="Arial" w:cs="Arial"/>
          <w:sz w:val="24"/>
          <w:szCs w:val="24"/>
        </w:rPr>
        <w:t xml:space="preserve">Antes de entrar al estudio de los conceptos de impugnación vertidos por la parte actora en el escrito de demanda, es necesario establecer si en el presente juicio se actualiza alguna de las causales de improcedencia o sobreseimiento a que se refieren los artículos 228 y 229 del Código Procesal Administrativo para el Estado de San Luis Potosí, que sirva de base para decretar total o parcialmente el sobreseimiento del Juicio, ya sea que lo hagan valer o no las partes; toda vez </w:t>
      </w:r>
      <w:r w:rsidR="00B35EA7" w:rsidRPr="004524DE">
        <w:rPr>
          <w:rFonts w:ascii="Arial" w:eastAsia="Calibri" w:hAnsi="Arial" w:cs="Arial"/>
          <w:sz w:val="24"/>
          <w:szCs w:val="24"/>
        </w:rPr>
        <w:lastRenderedPageBreak/>
        <w:t>que se trata de cuestiones de orden público que se tienen que estudiar de oficio y, cuyo análisis es preferente al del fondo del asunto.</w:t>
      </w:r>
    </w:p>
    <w:p w:rsidR="00AD7D7A" w:rsidRPr="00EB2542" w:rsidRDefault="00AD7D7A" w:rsidP="00AD7D7A">
      <w:pPr>
        <w:spacing w:after="0" w:line="360" w:lineRule="auto"/>
        <w:ind w:firstLine="709"/>
        <w:jc w:val="both"/>
        <w:rPr>
          <w:rFonts w:ascii="Arial" w:eastAsia="Calibri" w:hAnsi="Arial" w:cs="Arial"/>
          <w:color w:val="000000"/>
          <w:sz w:val="28"/>
          <w:szCs w:val="28"/>
          <w:lang w:val="es-MX"/>
        </w:rPr>
      </w:pPr>
    </w:p>
    <w:p w:rsidR="00B35EA7" w:rsidRDefault="00073958" w:rsidP="00AD7D7A">
      <w:pPr>
        <w:spacing w:after="0" w:line="360" w:lineRule="auto"/>
        <w:ind w:firstLine="709"/>
        <w:jc w:val="both"/>
        <w:rPr>
          <w:rFonts w:ascii="Arial" w:eastAsia="Calibri" w:hAnsi="Arial" w:cs="Arial"/>
          <w:color w:val="000000"/>
          <w:sz w:val="24"/>
          <w:szCs w:val="24"/>
          <w:lang w:val="es-MX"/>
        </w:rPr>
      </w:pPr>
      <w:r>
        <w:rPr>
          <w:rFonts w:ascii="Arial" w:eastAsia="Calibri" w:hAnsi="Arial" w:cs="Arial"/>
          <w:color w:val="000000"/>
          <w:sz w:val="24"/>
          <w:szCs w:val="24"/>
          <w:lang w:val="es-MX"/>
        </w:rPr>
        <w:t>Con base en lo anterior, esta Tercera Sala Unitaria advierte, que se actualiza la causal de improcedencia que refiere la fr</w:t>
      </w:r>
      <w:r w:rsidR="005D2EC3">
        <w:rPr>
          <w:rFonts w:ascii="Arial" w:eastAsia="Calibri" w:hAnsi="Arial" w:cs="Arial"/>
          <w:color w:val="000000"/>
          <w:sz w:val="24"/>
          <w:szCs w:val="24"/>
          <w:lang w:val="es-MX"/>
        </w:rPr>
        <w:t>acción VI del numeral 228 del Código Procesal Administrativo para el Estado de San Luis Potosí, en virtud de lo siguiente:</w:t>
      </w:r>
    </w:p>
    <w:p w:rsidR="005D2EC3" w:rsidRDefault="005D2EC3" w:rsidP="00AD7D7A">
      <w:pPr>
        <w:spacing w:after="0" w:line="360" w:lineRule="auto"/>
        <w:ind w:firstLine="709"/>
        <w:jc w:val="both"/>
        <w:rPr>
          <w:rFonts w:ascii="Arial" w:eastAsia="Calibri" w:hAnsi="Arial" w:cs="Arial"/>
          <w:color w:val="000000"/>
          <w:sz w:val="24"/>
          <w:szCs w:val="24"/>
          <w:lang w:val="es-MX"/>
        </w:rPr>
      </w:pPr>
    </w:p>
    <w:p w:rsidR="00AD5BC9" w:rsidRDefault="005D2EC3" w:rsidP="005D2EC3">
      <w:pPr>
        <w:spacing w:after="0" w:line="360" w:lineRule="auto"/>
        <w:ind w:firstLine="709"/>
        <w:jc w:val="both"/>
        <w:rPr>
          <w:rFonts w:ascii="Arial" w:eastAsia="Calibri" w:hAnsi="Arial" w:cs="Arial"/>
          <w:color w:val="000000"/>
          <w:sz w:val="24"/>
          <w:szCs w:val="24"/>
          <w:lang w:val="es-MX"/>
        </w:rPr>
      </w:pPr>
      <w:r>
        <w:rPr>
          <w:rFonts w:ascii="Arial" w:eastAsia="Calibri" w:hAnsi="Arial" w:cs="Arial"/>
          <w:color w:val="000000"/>
          <w:sz w:val="24"/>
          <w:szCs w:val="24"/>
          <w:lang w:val="es-MX"/>
        </w:rPr>
        <w:t xml:space="preserve">Para una mejor comprensión del asunto, es necesario precisar que la parte actora señala como acto impugnado: </w:t>
      </w:r>
      <w:r w:rsidRPr="00AD7D7A">
        <w:rPr>
          <w:rFonts w:ascii="Arial" w:eastAsia="Times New Roman" w:hAnsi="Arial" w:cs="Arial"/>
          <w:i/>
          <w:lang w:eastAsia="es-ES"/>
        </w:rPr>
        <w:t>“</w:t>
      </w:r>
      <w:r>
        <w:rPr>
          <w:rFonts w:ascii="Arial" w:eastAsia="Times New Roman" w:hAnsi="Arial" w:cs="Arial"/>
          <w:i/>
          <w:lang w:eastAsia="es-ES"/>
        </w:rPr>
        <w:t xml:space="preserve">El oficio: </w:t>
      </w:r>
      <w:r w:rsidR="00944696">
        <w:rPr>
          <w:rFonts w:ascii="Arial" w:eastAsia="Times New Roman" w:hAnsi="Arial" w:cs="Arial"/>
          <w:i/>
          <w:color w:val="FF0000"/>
          <w:lang w:eastAsia="es-ES"/>
        </w:rPr>
        <w:t>**********</w:t>
      </w:r>
      <w:r>
        <w:rPr>
          <w:rFonts w:ascii="Arial" w:eastAsia="Times New Roman" w:hAnsi="Arial" w:cs="Arial"/>
          <w:i/>
          <w:lang w:eastAsia="es-ES"/>
        </w:rPr>
        <w:t xml:space="preserve">, de 21 de diciembre del 2017, emitido por la C. Directora de Comercialización del Organismo Intermunicipal Metropolitano de Agua Potable, Alcantarillado, Saneamiento y Servicios Conexos de los Municipios de Cerro de San Pedro, San Luis Potosí y Soledad de Graciano Sánchez (INTERAPAS), en el que dan a conocer las fechas de muestreo del 4to. Trimestre del 2013 al 3er trimestre de 2017, expresando los resultados de la aplicación del artículo 7 de las Tarifas y Cuotas en Materia de Saneamiento, en cantidad de </w:t>
      </w:r>
      <w:r w:rsidR="00944696">
        <w:rPr>
          <w:rFonts w:ascii="Arial" w:eastAsia="Times New Roman" w:hAnsi="Arial" w:cs="Arial"/>
          <w:i/>
          <w:color w:val="FF0000"/>
          <w:lang w:eastAsia="es-ES"/>
        </w:rPr>
        <w:t>**********</w:t>
      </w:r>
      <w:r>
        <w:rPr>
          <w:rFonts w:ascii="Arial" w:eastAsia="Times New Roman" w:hAnsi="Arial" w:cs="Arial"/>
          <w:i/>
          <w:lang w:eastAsia="es-ES"/>
        </w:rPr>
        <w:t xml:space="preserve">, con los fundamentos y motivos que no se habían expresado en el oficio que le antecede </w:t>
      </w:r>
      <w:r w:rsidR="00944696">
        <w:rPr>
          <w:rFonts w:ascii="Arial" w:eastAsia="Times New Roman" w:hAnsi="Arial" w:cs="Arial"/>
          <w:i/>
          <w:color w:val="FF0000"/>
          <w:lang w:eastAsia="es-ES"/>
        </w:rPr>
        <w:t>**********</w:t>
      </w:r>
      <w:r>
        <w:rPr>
          <w:rFonts w:ascii="Arial" w:eastAsia="Times New Roman" w:hAnsi="Arial" w:cs="Arial"/>
          <w:i/>
          <w:lang w:eastAsia="es-ES"/>
        </w:rPr>
        <w:t xml:space="preserve">, de 27 de noviembre del 2017, emitido por la C. Directora de Comercialización del Organismo Intermunicipal Metropolitano de Agua Potable, Alcantarillado, Saneamiento y Servicios Conexos de los Municipios de Cerro de San Pedro, San Luis Potosí y Soledad de Graciano Sánchez (INTERAPAS), con el que determina el mismo adeudo por descarga de contaminantes a la red de drenaje municipal del 4to. </w:t>
      </w:r>
      <w:proofErr w:type="gramStart"/>
      <w:r>
        <w:rPr>
          <w:rFonts w:ascii="Arial" w:eastAsia="Times New Roman" w:hAnsi="Arial" w:cs="Arial"/>
          <w:i/>
          <w:lang w:eastAsia="es-ES"/>
        </w:rPr>
        <w:t>trimestre</w:t>
      </w:r>
      <w:proofErr w:type="gramEnd"/>
      <w:r>
        <w:rPr>
          <w:rFonts w:ascii="Arial" w:eastAsia="Times New Roman" w:hAnsi="Arial" w:cs="Arial"/>
          <w:i/>
          <w:lang w:eastAsia="es-ES"/>
        </w:rPr>
        <w:t xml:space="preserve"> del 2013 al 3er trimestre de 2017, por la cantidad igual de </w:t>
      </w:r>
      <w:r w:rsidR="00944696">
        <w:rPr>
          <w:rFonts w:ascii="Arial" w:eastAsia="Times New Roman" w:hAnsi="Arial" w:cs="Arial"/>
          <w:i/>
          <w:color w:val="FF0000"/>
          <w:lang w:eastAsia="es-ES"/>
        </w:rPr>
        <w:t>**********</w:t>
      </w:r>
      <w:r>
        <w:rPr>
          <w:rFonts w:ascii="Arial" w:eastAsia="Times New Roman" w:hAnsi="Arial" w:cs="Arial"/>
          <w:i/>
          <w:lang w:eastAsia="es-ES"/>
        </w:rPr>
        <w:t>, por lo que hasta la fecha en que fue del conocimiento de la demandante el documento primeramente mencionado, que fue el último dictado en el procedimiento administrativo, es el que asume el carácter de definitivo, por ser la sucesión legalmente ordenada de hechos y actos tendentes al nacimiento de una decisión final materialmente administrativa.”</w:t>
      </w:r>
    </w:p>
    <w:p w:rsidR="005D2EC3" w:rsidRPr="00EB2542" w:rsidRDefault="005D2EC3" w:rsidP="005D2EC3">
      <w:pPr>
        <w:spacing w:after="0" w:line="360" w:lineRule="auto"/>
        <w:ind w:firstLine="709"/>
        <w:jc w:val="both"/>
        <w:rPr>
          <w:rFonts w:ascii="Arial" w:eastAsia="Calibri" w:hAnsi="Arial" w:cs="Arial"/>
          <w:color w:val="000000"/>
          <w:sz w:val="28"/>
          <w:szCs w:val="28"/>
          <w:lang w:val="es-MX"/>
        </w:rPr>
      </w:pPr>
    </w:p>
    <w:p w:rsidR="005D2EC3" w:rsidRDefault="005D2EC3" w:rsidP="005D2EC3">
      <w:pPr>
        <w:spacing w:after="0" w:line="360" w:lineRule="auto"/>
        <w:ind w:firstLine="709"/>
        <w:jc w:val="both"/>
        <w:rPr>
          <w:rFonts w:ascii="Arial" w:eastAsia="Calibri" w:hAnsi="Arial" w:cs="Arial"/>
          <w:color w:val="000000"/>
          <w:sz w:val="24"/>
          <w:szCs w:val="24"/>
          <w:lang w:val="es-MX"/>
        </w:rPr>
      </w:pPr>
      <w:r>
        <w:rPr>
          <w:rFonts w:ascii="Arial" w:eastAsia="Calibri" w:hAnsi="Arial" w:cs="Arial"/>
          <w:color w:val="000000"/>
          <w:sz w:val="24"/>
          <w:szCs w:val="24"/>
          <w:lang w:val="es-MX"/>
        </w:rPr>
        <w:t xml:space="preserve">Asimismo, como antecedentes de su demanda, la parte actora refiere que con fecha 27 de noviembre de 2017, la Directora de Comercialización del Organismo demandado, expidió el oficio </w:t>
      </w:r>
      <w:r w:rsidR="00944696">
        <w:rPr>
          <w:rFonts w:ascii="Arial" w:eastAsia="Calibri" w:hAnsi="Arial" w:cs="Arial"/>
          <w:color w:val="FF0000"/>
          <w:sz w:val="24"/>
          <w:szCs w:val="24"/>
          <w:lang w:val="es-MX"/>
        </w:rPr>
        <w:t>**********</w:t>
      </w:r>
      <w:r>
        <w:rPr>
          <w:rFonts w:ascii="Arial" w:eastAsia="Calibri" w:hAnsi="Arial" w:cs="Arial"/>
          <w:color w:val="000000"/>
          <w:sz w:val="24"/>
          <w:szCs w:val="24"/>
          <w:lang w:val="es-MX"/>
        </w:rPr>
        <w:t xml:space="preserve">, que contiene el cálculo por la cantidad de </w:t>
      </w:r>
      <w:r w:rsidR="00944696">
        <w:rPr>
          <w:rFonts w:ascii="Arial" w:eastAsia="Calibri" w:hAnsi="Arial" w:cs="Arial"/>
          <w:color w:val="FF0000"/>
          <w:sz w:val="24"/>
          <w:szCs w:val="24"/>
          <w:lang w:val="es-MX"/>
        </w:rPr>
        <w:t>**********</w:t>
      </w:r>
      <w:r>
        <w:rPr>
          <w:rFonts w:ascii="Arial" w:eastAsia="Calibri" w:hAnsi="Arial" w:cs="Arial"/>
          <w:color w:val="000000"/>
          <w:sz w:val="24"/>
          <w:szCs w:val="24"/>
          <w:lang w:val="es-MX"/>
        </w:rPr>
        <w:t xml:space="preserve">pesos, que el </w:t>
      </w:r>
      <w:r w:rsidR="00944696">
        <w:rPr>
          <w:rFonts w:ascii="Arial" w:eastAsia="Calibri" w:hAnsi="Arial" w:cs="Arial"/>
          <w:color w:val="FF0000"/>
          <w:sz w:val="24"/>
          <w:szCs w:val="24"/>
          <w:lang w:val="es-MX"/>
        </w:rPr>
        <w:t>**********</w:t>
      </w:r>
      <w:r>
        <w:rPr>
          <w:rFonts w:ascii="Arial" w:eastAsia="Calibri" w:hAnsi="Arial" w:cs="Arial"/>
          <w:color w:val="000000"/>
          <w:sz w:val="24"/>
          <w:szCs w:val="24"/>
          <w:lang w:val="es-MX"/>
        </w:rPr>
        <w:t>, la accionante solicitó a la demandada la información detallada del cálculo de la determinación de la cantidad de $</w:t>
      </w:r>
      <w:r w:rsidR="00944696">
        <w:rPr>
          <w:rFonts w:ascii="Arial" w:eastAsia="Calibri" w:hAnsi="Arial" w:cs="Arial"/>
          <w:color w:val="FF0000"/>
          <w:sz w:val="24"/>
          <w:szCs w:val="24"/>
          <w:lang w:val="es-MX"/>
        </w:rPr>
        <w:t>**********</w:t>
      </w:r>
      <w:r>
        <w:rPr>
          <w:rFonts w:ascii="Arial" w:eastAsia="Calibri" w:hAnsi="Arial" w:cs="Arial"/>
          <w:color w:val="000000"/>
          <w:sz w:val="24"/>
          <w:szCs w:val="24"/>
          <w:lang w:val="es-MX"/>
        </w:rPr>
        <w:t xml:space="preserve">pesos, con su fundamento. Que el 21 de diciembre de 2017, la Directora de Comercialización del Organismo demandado, expidió el oficio </w:t>
      </w:r>
      <w:r w:rsidR="00944696">
        <w:rPr>
          <w:rFonts w:ascii="Arial" w:eastAsia="Calibri" w:hAnsi="Arial" w:cs="Arial"/>
          <w:color w:val="FF0000"/>
          <w:sz w:val="24"/>
          <w:szCs w:val="24"/>
          <w:lang w:val="es-MX"/>
        </w:rPr>
        <w:t>**********</w:t>
      </w:r>
      <w:r>
        <w:rPr>
          <w:rFonts w:ascii="Arial" w:eastAsia="Calibri" w:hAnsi="Arial" w:cs="Arial"/>
          <w:color w:val="000000"/>
          <w:sz w:val="24"/>
          <w:szCs w:val="24"/>
          <w:lang w:val="es-MX"/>
        </w:rPr>
        <w:t>, en el que se dan a conocer las fechas de muestreo del 4to. Trimestre del 2013 al 3er trimestre de 2017, expresando los resultados de la aplicación del artículo 7 de las Tarifas y Cuotas en materia de saneamiento, por un mismo total de $</w:t>
      </w:r>
      <w:r w:rsidR="00944696">
        <w:rPr>
          <w:rFonts w:ascii="Arial" w:eastAsia="Calibri" w:hAnsi="Arial" w:cs="Arial"/>
          <w:color w:val="FF0000"/>
          <w:sz w:val="24"/>
          <w:szCs w:val="24"/>
          <w:lang w:val="es-MX"/>
        </w:rPr>
        <w:t>**********</w:t>
      </w:r>
      <w:r>
        <w:rPr>
          <w:rFonts w:ascii="Arial" w:eastAsia="Calibri" w:hAnsi="Arial" w:cs="Arial"/>
          <w:color w:val="000000"/>
          <w:sz w:val="24"/>
          <w:szCs w:val="24"/>
          <w:lang w:val="es-MX"/>
        </w:rPr>
        <w:t xml:space="preserve">pesos, a cargo de la demandante, como los </w:t>
      </w:r>
      <w:r>
        <w:rPr>
          <w:rFonts w:ascii="Arial" w:eastAsia="Calibri" w:hAnsi="Arial" w:cs="Arial"/>
          <w:color w:val="000000"/>
          <w:sz w:val="24"/>
          <w:szCs w:val="24"/>
          <w:lang w:val="es-MX"/>
        </w:rPr>
        <w:lastRenderedPageBreak/>
        <w:t xml:space="preserve">fundamentos y motivos que no se habían expresado en el oficio </w:t>
      </w:r>
      <w:r w:rsidR="00944696">
        <w:rPr>
          <w:rFonts w:ascii="Arial" w:eastAsia="Calibri" w:hAnsi="Arial" w:cs="Arial"/>
          <w:color w:val="FF0000"/>
          <w:sz w:val="24"/>
          <w:szCs w:val="24"/>
          <w:lang w:val="es-MX"/>
        </w:rPr>
        <w:t>**********</w:t>
      </w:r>
      <w:r w:rsidR="00300CAB">
        <w:rPr>
          <w:rFonts w:ascii="Arial" w:eastAsia="Calibri" w:hAnsi="Arial" w:cs="Arial"/>
          <w:color w:val="000000"/>
          <w:sz w:val="24"/>
          <w:szCs w:val="24"/>
          <w:lang w:val="es-MX"/>
        </w:rPr>
        <w:t xml:space="preserve">y que el 9 de febrero de 2018, tuvo conocimiento del oficio </w:t>
      </w:r>
      <w:r w:rsidR="00944696">
        <w:rPr>
          <w:rFonts w:ascii="Arial" w:eastAsia="Calibri" w:hAnsi="Arial" w:cs="Arial"/>
          <w:color w:val="FF0000"/>
          <w:sz w:val="24"/>
          <w:szCs w:val="24"/>
          <w:lang w:val="es-MX"/>
        </w:rPr>
        <w:t>**********</w:t>
      </w:r>
      <w:r w:rsidR="00300CAB">
        <w:rPr>
          <w:rFonts w:ascii="Arial" w:eastAsia="Calibri" w:hAnsi="Arial" w:cs="Arial"/>
          <w:color w:val="000000"/>
          <w:sz w:val="24"/>
          <w:szCs w:val="24"/>
          <w:lang w:val="es-MX"/>
        </w:rPr>
        <w:t>.</w:t>
      </w:r>
    </w:p>
    <w:p w:rsidR="005D2EC3" w:rsidRPr="00000559" w:rsidRDefault="005D2EC3" w:rsidP="005D2EC3">
      <w:pPr>
        <w:spacing w:after="0" w:line="360" w:lineRule="auto"/>
        <w:ind w:firstLine="709"/>
        <w:jc w:val="both"/>
        <w:rPr>
          <w:rFonts w:ascii="Arial" w:eastAsia="Calibri" w:hAnsi="Arial" w:cs="Arial"/>
          <w:color w:val="000000"/>
          <w:sz w:val="16"/>
          <w:szCs w:val="16"/>
          <w:lang w:val="es-MX"/>
        </w:rPr>
      </w:pPr>
    </w:p>
    <w:p w:rsidR="00300CAB" w:rsidRDefault="00300CAB" w:rsidP="00300CAB">
      <w:pPr>
        <w:spacing w:after="0" w:line="360" w:lineRule="auto"/>
        <w:ind w:firstLine="709"/>
        <w:jc w:val="both"/>
        <w:rPr>
          <w:rFonts w:ascii="Arial" w:eastAsia="Calibri" w:hAnsi="Arial" w:cs="Arial"/>
          <w:color w:val="000000"/>
          <w:sz w:val="24"/>
          <w:szCs w:val="24"/>
          <w:lang w:val="es-MX"/>
        </w:rPr>
      </w:pPr>
      <w:r>
        <w:rPr>
          <w:rFonts w:ascii="Arial" w:eastAsia="Calibri" w:hAnsi="Arial" w:cs="Arial"/>
          <w:color w:val="000000"/>
          <w:sz w:val="24"/>
          <w:szCs w:val="24"/>
          <w:lang w:val="es-MX"/>
        </w:rPr>
        <w:t xml:space="preserve">De lo anteriormente citado, se advierte que la demandante considera los oficios </w:t>
      </w:r>
      <w:r w:rsidR="00944696">
        <w:rPr>
          <w:rFonts w:ascii="Arial" w:eastAsia="Calibri" w:hAnsi="Arial" w:cs="Arial"/>
          <w:color w:val="FF0000"/>
          <w:sz w:val="24"/>
          <w:szCs w:val="24"/>
          <w:lang w:val="es-MX"/>
        </w:rPr>
        <w:t>**********</w:t>
      </w:r>
      <w:r>
        <w:rPr>
          <w:rFonts w:ascii="Arial" w:eastAsia="Calibri" w:hAnsi="Arial" w:cs="Arial"/>
          <w:color w:val="000000"/>
          <w:sz w:val="24"/>
          <w:szCs w:val="24"/>
          <w:lang w:val="es-MX"/>
        </w:rPr>
        <w:t xml:space="preserve">, de fecha 27 de noviembre de 2017, así como el </w:t>
      </w:r>
      <w:r w:rsidR="00944696">
        <w:rPr>
          <w:rFonts w:ascii="Arial" w:eastAsia="Calibri" w:hAnsi="Arial" w:cs="Arial"/>
          <w:color w:val="FF0000"/>
          <w:sz w:val="24"/>
          <w:szCs w:val="24"/>
          <w:lang w:val="es-MX"/>
        </w:rPr>
        <w:t>**********</w:t>
      </w:r>
      <w:r>
        <w:rPr>
          <w:rFonts w:ascii="Arial" w:eastAsia="Calibri" w:hAnsi="Arial" w:cs="Arial"/>
          <w:color w:val="000000"/>
          <w:sz w:val="24"/>
          <w:szCs w:val="24"/>
          <w:lang w:val="es-MX"/>
        </w:rPr>
        <w:t>de 21 de diciembre de 2017, como sucesión uno de otro y el último oficio en mención, como una decisión final materialmente administrativa, es decir, que el último oficio dictado es el que asume el carácter de definitivo.</w:t>
      </w:r>
    </w:p>
    <w:p w:rsidR="002119DF" w:rsidRPr="00EB2542" w:rsidRDefault="002119DF" w:rsidP="00300CAB">
      <w:pPr>
        <w:spacing w:after="0" w:line="360" w:lineRule="auto"/>
        <w:ind w:firstLine="709"/>
        <w:jc w:val="both"/>
        <w:rPr>
          <w:rFonts w:ascii="Arial" w:eastAsia="Calibri" w:hAnsi="Arial" w:cs="Arial"/>
          <w:color w:val="000000"/>
          <w:sz w:val="28"/>
          <w:szCs w:val="28"/>
          <w:lang w:val="es-MX"/>
        </w:rPr>
      </w:pPr>
    </w:p>
    <w:p w:rsidR="005D2EC3" w:rsidRDefault="005D2EC3" w:rsidP="005D2EC3">
      <w:pPr>
        <w:spacing w:after="0" w:line="360" w:lineRule="auto"/>
        <w:ind w:firstLine="709"/>
        <w:jc w:val="both"/>
        <w:rPr>
          <w:rFonts w:ascii="Arial" w:eastAsia="Calibri" w:hAnsi="Arial" w:cs="Arial"/>
          <w:color w:val="000000"/>
          <w:sz w:val="24"/>
          <w:szCs w:val="24"/>
          <w:lang w:val="es-MX"/>
        </w:rPr>
      </w:pPr>
      <w:r>
        <w:rPr>
          <w:rFonts w:ascii="Arial" w:eastAsia="Calibri" w:hAnsi="Arial" w:cs="Arial"/>
          <w:color w:val="000000"/>
          <w:sz w:val="24"/>
          <w:szCs w:val="24"/>
          <w:lang w:val="es-MX"/>
        </w:rPr>
        <w:t xml:space="preserve">Sin embargo, al hacer un análisis del oficio </w:t>
      </w:r>
      <w:r w:rsidR="00944696">
        <w:rPr>
          <w:rFonts w:ascii="Arial" w:eastAsia="Calibri" w:hAnsi="Arial" w:cs="Arial"/>
          <w:color w:val="FF0000"/>
          <w:sz w:val="24"/>
          <w:szCs w:val="24"/>
          <w:lang w:val="es-MX"/>
        </w:rPr>
        <w:t>**********</w:t>
      </w:r>
      <w:r>
        <w:rPr>
          <w:rFonts w:ascii="Arial" w:eastAsia="Calibri" w:hAnsi="Arial" w:cs="Arial"/>
          <w:color w:val="000000"/>
          <w:sz w:val="24"/>
          <w:szCs w:val="24"/>
          <w:lang w:val="es-MX"/>
        </w:rPr>
        <w:t xml:space="preserve">, de 21 de diciembre de 2017, emitido por la Directora de Comercialización del Organismo Intermunicipal Metropolitano de Agua Potable, Alcantarillado, Saneamiento y Servicios Conexos de los Municipios de Cerro de San Pedro, San Luis Potosí y Soledad de Graciano Sánchez, que constituye el acto impugnado, </w:t>
      </w:r>
      <w:r w:rsidR="00300CAB">
        <w:rPr>
          <w:rFonts w:ascii="Arial" w:eastAsia="Calibri" w:hAnsi="Arial" w:cs="Arial"/>
          <w:color w:val="000000"/>
          <w:sz w:val="24"/>
          <w:szCs w:val="24"/>
          <w:lang w:val="es-MX"/>
        </w:rPr>
        <w:t xml:space="preserve">en la presente controversia, </w:t>
      </w:r>
      <w:r>
        <w:rPr>
          <w:rFonts w:ascii="Arial" w:eastAsia="Calibri" w:hAnsi="Arial" w:cs="Arial"/>
          <w:color w:val="000000"/>
          <w:sz w:val="24"/>
          <w:szCs w:val="24"/>
          <w:lang w:val="es-MX"/>
        </w:rPr>
        <w:t xml:space="preserve">se advierte que este, </w:t>
      </w:r>
      <w:r w:rsidR="00300CAB">
        <w:rPr>
          <w:rFonts w:ascii="Arial" w:eastAsia="Calibri" w:hAnsi="Arial" w:cs="Arial"/>
          <w:color w:val="000000"/>
          <w:sz w:val="24"/>
          <w:szCs w:val="24"/>
          <w:lang w:val="es-MX"/>
        </w:rPr>
        <w:t xml:space="preserve">se dictó en </w:t>
      </w:r>
      <w:r w:rsidR="00D35F0B">
        <w:rPr>
          <w:rFonts w:ascii="Arial" w:eastAsia="Calibri" w:hAnsi="Arial" w:cs="Arial"/>
          <w:color w:val="000000"/>
          <w:sz w:val="24"/>
          <w:szCs w:val="24"/>
          <w:lang w:val="es-MX"/>
        </w:rPr>
        <w:t xml:space="preserve">contestación a la solicitud realizada con fecha </w:t>
      </w:r>
      <w:r w:rsidR="00944696">
        <w:rPr>
          <w:rFonts w:ascii="Arial" w:eastAsia="Calibri" w:hAnsi="Arial" w:cs="Arial"/>
          <w:color w:val="FF0000"/>
          <w:sz w:val="24"/>
          <w:szCs w:val="24"/>
          <w:lang w:val="es-MX"/>
        </w:rPr>
        <w:t>**********</w:t>
      </w:r>
      <w:r w:rsidR="00D35F0B">
        <w:rPr>
          <w:rFonts w:ascii="Arial" w:eastAsia="Calibri" w:hAnsi="Arial" w:cs="Arial"/>
          <w:color w:val="000000"/>
          <w:sz w:val="24"/>
          <w:szCs w:val="24"/>
          <w:lang w:val="es-MX"/>
        </w:rPr>
        <w:t xml:space="preserve">, por el Apoderado Legal de la persona moral </w:t>
      </w:r>
      <w:r w:rsidR="00944696">
        <w:rPr>
          <w:rFonts w:ascii="Arial" w:eastAsia="Calibri" w:hAnsi="Arial" w:cs="Arial"/>
          <w:color w:val="FF0000"/>
          <w:sz w:val="24"/>
          <w:szCs w:val="24"/>
          <w:lang w:val="es-MX"/>
        </w:rPr>
        <w:t>**********</w:t>
      </w:r>
      <w:r w:rsidR="001A02B5">
        <w:rPr>
          <w:rFonts w:ascii="Arial" w:eastAsia="Calibri" w:hAnsi="Arial" w:cs="Arial"/>
          <w:color w:val="000000"/>
          <w:sz w:val="24"/>
          <w:szCs w:val="24"/>
          <w:lang w:val="es-MX"/>
        </w:rPr>
        <w:t>respecto a la información requerida, respecto a las bases y cálculos que sirvieron de base para emitir los cobros referentes a las descargas de contaminantes a la red de drenaje municipal correspondiente a los periodos que abarcan del cuarto trimestre de 2013 al tercer trimestre de 2017</w:t>
      </w:r>
      <w:r w:rsidR="009434FF">
        <w:rPr>
          <w:rFonts w:ascii="Arial" w:eastAsia="Calibri" w:hAnsi="Arial" w:cs="Arial"/>
          <w:color w:val="000000"/>
          <w:sz w:val="24"/>
          <w:szCs w:val="24"/>
          <w:lang w:val="es-MX"/>
        </w:rPr>
        <w:t>.</w:t>
      </w:r>
    </w:p>
    <w:p w:rsidR="005D2EC3" w:rsidRPr="00EB2542" w:rsidRDefault="005D2EC3" w:rsidP="005D2EC3">
      <w:pPr>
        <w:spacing w:after="0" w:line="360" w:lineRule="auto"/>
        <w:ind w:firstLine="709"/>
        <w:jc w:val="both"/>
        <w:rPr>
          <w:rFonts w:ascii="Arial" w:eastAsia="Calibri" w:hAnsi="Arial" w:cs="Arial"/>
          <w:color w:val="000000"/>
          <w:sz w:val="28"/>
          <w:szCs w:val="28"/>
          <w:lang w:val="es-MX"/>
        </w:rPr>
      </w:pPr>
    </w:p>
    <w:p w:rsidR="005D2EC3" w:rsidRDefault="009434FF" w:rsidP="005D2EC3">
      <w:pPr>
        <w:spacing w:after="0" w:line="360" w:lineRule="auto"/>
        <w:ind w:firstLine="709"/>
        <w:jc w:val="both"/>
        <w:rPr>
          <w:rFonts w:ascii="Arial" w:eastAsia="Calibri" w:hAnsi="Arial" w:cs="Arial"/>
          <w:color w:val="000000"/>
          <w:sz w:val="24"/>
          <w:szCs w:val="24"/>
          <w:lang w:val="es-MX"/>
        </w:rPr>
      </w:pPr>
      <w:r>
        <w:rPr>
          <w:rFonts w:ascii="Arial" w:eastAsia="Calibri" w:hAnsi="Arial" w:cs="Arial"/>
          <w:color w:val="000000"/>
          <w:sz w:val="24"/>
          <w:szCs w:val="24"/>
          <w:lang w:val="es-MX"/>
        </w:rPr>
        <w:t xml:space="preserve">Siendo que con fecha 27 de noviembre del 2017, ya se había emitido el oficio </w:t>
      </w:r>
      <w:r w:rsidR="00944696">
        <w:rPr>
          <w:rFonts w:ascii="Arial" w:eastAsia="Calibri" w:hAnsi="Arial" w:cs="Arial"/>
          <w:color w:val="FF0000"/>
          <w:sz w:val="24"/>
          <w:szCs w:val="24"/>
          <w:lang w:val="es-MX"/>
        </w:rPr>
        <w:t>**********</w:t>
      </w:r>
      <w:r>
        <w:rPr>
          <w:rFonts w:ascii="Arial" w:eastAsia="Calibri" w:hAnsi="Arial" w:cs="Arial"/>
          <w:color w:val="000000"/>
          <w:sz w:val="24"/>
          <w:szCs w:val="24"/>
          <w:lang w:val="es-MX"/>
        </w:rPr>
        <w:t xml:space="preserve">, por la Directora de Comercialización, donde se hacía del conocimiento a la parte actora el cálculo relativo al adeudo por descarga de contaminantes a la red de drenaje municipal, correspondiente al 4to. Trimestre del 2013 al 3er trimestre de 2017 con número de expediente </w:t>
      </w:r>
      <w:r w:rsidR="00944696">
        <w:rPr>
          <w:rFonts w:ascii="Arial" w:eastAsia="Calibri" w:hAnsi="Arial" w:cs="Arial"/>
          <w:color w:val="FF0000"/>
          <w:sz w:val="24"/>
          <w:szCs w:val="24"/>
          <w:lang w:val="es-MX"/>
        </w:rPr>
        <w:t>**********</w:t>
      </w:r>
      <w:r>
        <w:rPr>
          <w:rFonts w:ascii="Arial" w:eastAsia="Calibri" w:hAnsi="Arial" w:cs="Arial"/>
          <w:color w:val="000000"/>
          <w:sz w:val="24"/>
          <w:szCs w:val="24"/>
          <w:lang w:val="es-MX"/>
        </w:rPr>
        <w:t>, por un total de $</w:t>
      </w:r>
      <w:r w:rsidR="00944696">
        <w:rPr>
          <w:rFonts w:ascii="Arial" w:eastAsia="Calibri" w:hAnsi="Arial" w:cs="Arial"/>
          <w:color w:val="FF0000"/>
          <w:sz w:val="24"/>
          <w:szCs w:val="24"/>
          <w:lang w:val="es-MX"/>
        </w:rPr>
        <w:t>**********</w:t>
      </w:r>
      <w:r>
        <w:rPr>
          <w:rFonts w:ascii="Arial" w:eastAsia="Calibri" w:hAnsi="Arial" w:cs="Arial"/>
          <w:color w:val="000000"/>
          <w:sz w:val="24"/>
          <w:szCs w:val="24"/>
          <w:lang w:val="es-MX"/>
        </w:rPr>
        <w:t>pesos.</w:t>
      </w:r>
    </w:p>
    <w:p w:rsidR="009434FF" w:rsidRPr="00EB2542" w:rsidRDefault="009434FF" w:rsidP="005D2EC3">
      <w:pPr>
        <w:spacing w:after="0" w:line="360" w:lineRule="auto"/>
        <w:ind w:firstLine="709"/>
        <w:jc w:val="both"/>
        <w:rPr>
          <w:rFonts w:ascii="Arial" w:eastAsia="Calibri" w:hAnsi="Arial" w:cs="Arial"/>
          <w:color w:val="000000"/>
          <w:sz w:val="28"/>
          <w:szCs w:val="28"/>
          <w:lang w:val="es-MX"/>
        </w:rPr>
      </w:pPr>
    </w:p>
    <w:p w:rsidR="00C30578" w:rsidRDefault="009434FF" w:rsidP="0049492C">
      <w:pPr>
        <w:spacing w:after="0" w:line="360" w:lineRule="auto"/>
        <w:ind w:firstLine="709"/>
        <w:jc w:val="both"/>
        <w:rPr>
          <w:rFonts w:ascii="Arial" w:eastAsia="Calibri" w:hAnsi="Arial" w:cs="Arial"/>
          <w:color w:val="000000"/>
          <w:sz w:val="24"/>
          <w:szCs w:val="24"/>
          <w:lang w:val="es-MX"/>
        </w:rPr>
      </w:pPr>
      <w:r>
        <w:rPr>
          <w:rFonts w:ascii="Arial" w:eastAsia="Calibri" w:hAnsi="Arial" w:cs="Arial"/>
          <w:color w:val="000000"/>
          <w:sz w:val="24"/>
          <w:szCs w:val="24"/>
          <w:lang w:val="es-MX"/>
        </w:rPr>
        <w:t>En tal virtud, esta Sala Unitaria advierte que los oficios</w:t>
      </w:r>
      <w:r w:rsidR="003E5074" w:rsidRPr="003E5074">
        <w:rPr>
          <w:rFonts w:ascii="Arial" w:eastAsia="Calibri" w:hAnsi="Arial" w:cs="Arial"/>
          <w:color w:val="000000"/>
          <w:sz w:val="24"/>
          <w:szCs w:val="24"/>
          <w:lang w:val="es-MX"/>
        </w:rPr>
        <w:t xml:space="preserve"> </w:t>
      </w:r>
      <w:r w:rsidR="00944696">
        <w:rPr>
          <w:rFonts w:ascii="Arial" w:eastAsia="Calibri" w:hAnsi="Arial" w:cs="Arial"/>
          <w:color w:val="FF0000"/>
          <w:sz w:val="24"/>
          <w:szCs w:val="24"/>
          <w:lang w:val="es-MX"/>
        </w:rPr>
        <w:t>**********</w:t>
      </w:r>
      <w:r w:rsidR="003E5074">
        <w:rPr>
          <w:rFonts w:ascii="Arial" w:eastAsia="Calibri" w:hAnsi="Arial" w:cs="Arial"/>
          <w:color w:val="000000"/>
          <w:sz w:val="24"/>
          <w:szCs w:val="24"/>
          <w:lang w:val="es-MX"/>
        </w:rPr>
        <w:t xml:space="preserve">, así como el </w:t>
      </w:r>
      <w:r w:rsidR="00944696">
        <w:rPr>
          <w:rFonts w:ascii="Arial" w:eastAsia="Calibri" w:hAnsi="Arial" w:cs="Arial"/>
          <w:color w:val="FF0000"/>
          <w:sz w:val="24"/>
          <w:szCs w:val="24"/>
          <w:lang w:val="es-MX"/>
        </w:rPr>
        <w:t>**********</w:t>
      </w:r>
      <w:r w:rsidR="003E5074">
        <w:rPr>
          <w:rFonts w:ascii="Arial" w:eastAsia="Calibri" w:hAnsi="Arial" w:cs="Arial"/>
          <w:color w:val="000000"/>
          <w:sz w:val="24"/>
          <w:szCs w:val="24"/>
          <w:lang w:val="es-MX"/>
        </w:rPr>
        <w:t xml:space="preserve">, de fechas 27 de noviembre de 2017 y 21 de diciembre del mismo año, respectivamente, los cuales hacen prueba plena en términos </w:t>
      </w:r>
      <w:r w:rsidR="0049492C">
        <w:rPr>
          <w:rFonts w:ascii="Arial" w:eastAsia="Calibri" w:hAnsi="Arial" w:cs="Arial"/>
          <w:color w:val="000000"/>
          <w:sz w:val="24"/>
          <w:szCs w:val="24"/>
          <w:lang w:val="es-MX"/>
        </w:rPr>
        <w:t xml:space="preserve">de la fracción I del artículo 72 del Código Procesal Administrativo para el Estado de San Luis Potosí, </w:t>
      </w:r>
      <w:r w:rsidR="00A474A7">
        <w:rPr>
          <w:rFonts w:ascii="Arial" w:eastAsia="Calibri" w:hAnsi="Arial" w:cs="Arial"/>
          <w:color w:val="000000"/>
          <w:sz w:val="24"/>
          <w:szCs w:val="24"/>
          <w:lang w:val="es-MX"/>
        </w:rPr>
        <w:t>no son sucesión uno de otro, pues en el primero, se hace del conocimiento a la demandante de un adeudo por descarga de contaminantes a la red de drenaje municipal corresp</w:t>
      </w:r>
      <w:r w:rsidR="00290D04">
        <w:rPr>
          <w:rFonts w:ascii="Arial" w:eastAsia="Calibri" w:hAnsi="Arial" w:cs="Arial"/>
          <w:color w:val="000000"/>
          <w:sz w:val="24"/>
          <w:szCs w:val="24"/>
          <w:lang w:val="es-MX"/>
        </w:rPr>
        <w:t xml:space="preserve">ondiente al periodo que refiere </w:t>
      </w:r>
      <w:r w:rsidR="00A474A7">
        <w:rPr>
          <w:rFonts w:ascii="Arial" w:eastAsia="Calibri" w:hAnsi="Arial" w:cs="Arial"/>
          <w:color w:val="000000"/>
          <w:sz w:val="24"/>
          <w:szCs w:val="24"/>
          <w:lang w:val="es-MX"/>
        </w:rPr>
        <w:t xml:space="preserve">y el segundo se dicta en contestación a una solicitud realizada por la actora, </w:t>
      </w:r>
      <w:r w:rsidR="00740B4F">
        <w:rPr>
          <w:rFonts w:ascii="Arial" w:eastAsia="Calibri" w:hAnsi="Arial" w:cs="Arial"/>
          <w:color w:val="000000"/>
          <w:sz w:val="24"/>
          <w:szCs w:val="24"/>
          <w:lang w:val="es-MX"/>
        </w:rPr>
        <w:t xml:space="preserve"> que constituye una mera información, </w:t>
      </w:r>
      <w:r w:rsidR="00383D27">
        <w:rPr>
          <w:rFonts w:ascii="Arial" w:eastAsia="Calibri" w:hAnsi="Arial" w:cs="Arial"/>
          <w:color w:val="000000"/>
          <w:sz w:val="24"/>
          <w:szCs w:val="24"/>
          <w:lang w:val="es-MX"/>
        </w:rPr>
        <w:t xml:space="preserve">lo que se corrobora con </w:t>
      </w:r>
      <w:r w:rsidR="00740B4F">
        <w:rPr>
          <w:rFonts w:ascii="Arial" w:eastAsia="Calibri" w:hAnsi="Arial" w:cs="Arial"/>
          <w:color w:val="000000"/>
          <w:sz w:val="24"/>
          <w:szCs w:val="24"/>
          <w:lang w:val="es-MX"/>
        </w:rPr>
        <w:t xml:space="preserve">la </w:t>
      </w:r>
      <w:r w:rsidR="00765131">
        <w:rPr>
          <w:rFonts w:ascii="Arial" w:eastAsia="Calibri" w:hAnsi="Arial" w:cs="Arial"/>
          <w:color w:val="000000"/>
          <w:sz w:val="24"/>
          <w:szCs w:val="24"/>
          <w:lang w:val="es-MX"/>
        </w:rPr>
        <w:lastRenderedPageBreak/>
        <w:t xml:space="preserve">documental que exhibe la actora, consistente en la </w:t>
      </w:r>
      <w:r w:rsidR="00740B4F">
        <w:rPr>
          <w:rFonts w:ascii="Arial" w:eastAsia="Calibri" w:hAnsi="Arial" w:cs="Arial"/>
          <w:color w:val="000000"/>
          <w:sz w:val="24"/>
          <w:szCs w:val="24"/>
          <w:lang w:val="es-MX"/>
        </w:rPr>
        <w:t>solicitud formulad</w:t>
      </w:r>
      <w:r w:rsidR="00765131">
        <w:rPr>
          <w:rFonts w:ascii="Arial" w:eastAsia="Calibri" w:hAnsi="Arial" w:cs="Arial"/>
          <w:color w:val="000000"/>
          <w:sz w:val="24"/>
          <w:szCs w:val="24"/>
          <w:lang w:val="es-MX"/>
        </w:rPr>
        <w:t>a por la demandante a la Dirección de Comercialización del Organismo demandado, cuyo acuse</w:t>
      </w:r>
      <w:r w:rsidR="00740B4F">
        <w:rPr>
          <w:rFonts w:ascii="Arial" w:eastAsia="Calibri" w:hAnsi="Arial" w:cs="Arial"/>
          <w:color w:val="000000"/>
          <w:sz w:val="24"/>
          <w:szCs w:val="24"/>
          <w:lang w:val="es-MX"/>
        </w:rPr>
        <w:t>, se encuentra visible a fojas 30 de autos</w:t>
      </w:r>
      <w:r w:rsidR="0049492C">
        <w:rPr>
          <w:rFonts w:ascii="Arial" w:eastAsia="Calibri" w:hAnsi="Arial" w:cs="Arial"/>
          <w:color w:val="000000"/>
          <w:sz w:val="24"/>
          <w:szCs w:val="24"/>
          <w:lang w:val="es-MX"/>
        </w:rPr>
        <w:t>, el cual hace prueba plena, en términos del numeral 75, en relación con el 100, del Código Procesal Administrativo par</w:t>
      </w:r>
      <w:r w:rsidR="00765131">
        <w:rPr>
          <w:rFonts w:ascii="Arial" w:eastAsia="Calibri" w:hAnsi="Arial" w:cs="Arial"/>
          <w:color w:val="000000"/>
          <w:sz w:val="24"/>
          <w:szCs w:val="24"/>
          <w:lang w:val="es-MX"/>
        </w:rPr>
        <w:t>a el Estado de San Luis Potosí</w:t>
      </w:r>
      <w:r w:rsidR="002C5431">
        <w:rPr>
          <w:rFonts w:ascii="Arial" w:eastAsia="Calibri" w:hAnsi="Arial" w:cs="Arial"/>
          <w:color w:val="000000"/>
          <w:sz w:val="24"/>
          <w:szCs w:val="24"/>
          <w:lang w:val="es-MX"/>
        </w:rPr>
        <w:t xml:space="preserve"> y </w:t>
      </w:r>
      <w:r w:rsidR="00E37E36">
        <w:rPr>
          <w:rFonts w:ascii="Arial" w:eastAsia="Calibri" w:hAnsi="Arial" w:cs="Arial"/>
          <w:color w:val="000000"/>
          <w:sz w:val="24"/>
          <w:szCs w:val="24"/>
          <w:lang w:val="es-MX"/>
        </w:rPr>
        <w:t>395</w:t>
      </w:r>
      <w:r w:rsidR="002C5431">
        <w:rPr>
          <w:rFonts w:ascii="Arial" w:eastAsia="Calibri" w:hAnsi="Arial" w:cs="Arial"/>
          <w:color w:val="000000"/>
          <w:sz w:val="24"/>
          <w:szCs w:val="24"/>
          <w:lang w:val="es-MX"/>
        </w:rPr>
        <w:t xml:space="preserve"> del Código de Procedimientos Civiles del Estado, de aplicación supletoria al Código de la materia, por disposición de su artículo 163 párrafo segundo</w:t>
      </w:r>
      <w:r w:rsidR="00765131">
        <w:rPr>
          <w:rFonts w:ascii="Arial" w:eastAsia="Calibri" w:hAnsi="Arial" w:cs="Arial"/>
          <w:color w:val="000000"/>
          <w:sz w:val="24"/>
          <w:szCs w:val="24"/>
          <w:lang w:val="es-MX"/>
        </w:rPr>
        <w:t xml:space="preserve">, toda vez que dicha prueba documental privada, se relaciona con los hechos narrados por el actor, según se advierte del capítulo VII denominado “Hechos que constituyen los antecedentes de la demanda” (f. 2 y 3); y </w:t>
      </w:r>
      <w:r w:rsidR="00740B4F">
        <w:rPr>
          <w:rFonts w:ascii="Arial" w:eastAsia="Calibri" w:hAnsi="Arial" w:cs="Arial"/>
          <w:color w:val="000000"/>
          <w:sz w:val="24"/>
          <w:szCs w:val="24"/>
          <w:lang w:val="es-MX"/>
        </w:rPr>
        <w:t xml:space="preserve">como se observa del propio oficio </w:t>
      </w:r>
      <w:r w:rsidR="00944696">
        <w:rPr>
          <w:rFonts w:ascii="Arial" w:eastAsia="Calibri" w:hAnsi="Arial" w:cs="Arial"/>
          <w:color w:val="FF0000"/>
          <w:sz w:val="24"/>
          <w:szCs w:val="24"/>
          <w:lang w:val="es-MX"/>
        </w:rPr>
        <w:t>**********</w:t>
      </w:r>
      <w:r w:rsidR="00740B4F">
        <w:rPr>
          <w:rFonts w:ascii="Arial" w:eastAsia="Calibri" w:hAnsi="Arial" w:cs="Arial"/>
          <w:color w:val="000000"/>
          <w:sz w:val="24"/>
          <w:szCs w:val="24"/>
          <w:lang w:val="es-MX"/>
        </w:rPr>
        <w:t xml:space="preserve">, en el cual </w:t>
      </w:r>
      <w:r w:rsidR="00765131">
        <w:rPr>
          <w:rFonts w:ascii="Arial" w:eastAsia="Calibri" w:hAnsi="Arial" w:cs="Arial"/>
          <w:color w:val="000000"/>
          <w:sz w:val="24"/>
          <w:szCs w:val="24"/>
          <w:lang w:val="es-MX"/>
        </w:rPr>
        <w:t>la Directora de Comercialización del Organismo Interapas, indica</w:t>
      </w:r>
      <w:r w:rsidR="00740B4F">
        <w:rPr>
          <w:rFonts w:ascii="Arial" w:eastAsia="Calibri" w:hAnsi="Arial" w:cs="Arial"/>
          <w:color w:val="000000"/>
          <w:sz w:val="24"/>
          <w:szCs w:val="24"/>
          <w:lang w:val="es-MX"/>
        </w:rPr>
        <w:t xml:space="preserve"> que se emite en atención al oficio de fecha 11 de diciembre de 2017, signado por el C. </w:t>
      </w:r>
      <w:r w:rsidR="00944696">
        <w:rPr>
          <w:rFonts w:ascii="Arial" w:eastAsia="Calibri" w:hAnsi="Arial" w:cs="Arial"/>
          <w:color w:val="FF0000"/>
          <w:sz w:val="24"/>
          <w:szCs w:val="24"/>
          <w:lang w:val="es-MX"/>
        </w:rPr>
        <w:t>**********</w:t>
      </w:r>
      <w:r w:rsidR="003C39C4">
        <w:rPr>
          <w:rFonts w:ascii="Arial" w:eastAsia="Calibri" w:hAnsi="Arial" w:cs="Arial"/>
          <w:color w:val="000000"/>
          <w:sz w:val="24"/>
          <w:szCs w:val="24"/>
          <w:lang w:val="es-MX"/>
        </w:rPr>
        <w:t xml:space="preserve">, </w:t>
      </w:r>
      <w:r w:rsidR="00765131">
        <w:rPr>
          <w:rFonts w:ascii="Arial" w:eastAsia="Calibri" w:hAnsi="Arial" w:cs="Arial"/>
          <w:color w:val="000000"/>
          <w:sz w:val="24"/>
          <w:szCs w:val="24"/>
          <w:lang w:val="es-MX"/>
        </w:rPr>
        <w:t xml:space="preserve">quien comparece en el presente juicio como </w:t>
      </w:r>
      <w:r w:rsidR="003C39C4">
        <w:rPr>
          <w:rFonts w:ascii="Arial" w:eastAsia="Calibri" w:hAnsi="Arial" w:cs="Arial"/>
          <w:color w:val="000000"/>
          <w:sz w:val="24"/>
          <w:szCs w:val="24"/>
          <w:lang w:val="es-MX"/>
        </w:rPr>
        <w:t>Representante Legal de la persona moral actora</w:t>
      </w:r>
      <w:r w:rsidR="00E37E36">
        <w:rPr>
          <w:rFonts w:ascii="Arial" w:eastAsia="Calibri" w:hAnsi="Arial" w:cs="Arial"/>
          <w:color w:val="000000"/>
          <w:sz w:val="24"/>
          <w:szCs w:val="24"/>
          <w:lang w:val="es-MX"/>
        </w:rPr>
        <w:t xml:space="preserve">, aunado a que al tratarse de un documento exhibido por el demandante, el mismo prueba plenamente en su contra, al advertirse del mismo, la fecha en que tuvo conocimiento del oficio </w:t>
      </w:r>
      <w:r w:rsidR="00944696">
        <w:rPr>
          <w:rFonts w:ascii="Arial" w:eastAsia="Calibri" w:hAnsi="Arial" w:cs="Arial"/>
          <w:color w:val="FF0000"/>
          <w:sz w:val="24"/>
          <w:szCs w:val="24"/>
          <w:lang w:val="es-MX"/>
        </w:rPr>
        <w:t>**********</w:t>
      </w:r>
      <w:r w:rsidR="00E37E36">
        <w:rPr>
          <w:rFonts w:ascii="Arial" w:eastAsia="Calibri" w:hAnsi="Arial" w:cs="Arial"/>
          <w:color w:val="000000"/>
          <w:sz w:val="24"/>
          <w:szCs w:val="24"/>
          <w:lang w:val="es-MX"/>
        </w:rPr>
        <w:t xml:space="preserve">, emitido el 27 de noviembre de 2017, por la Directora de Comercialización del Organismo </w:t>
      </w:r>
      <w:r w:rsidR="00A11B7E">
        <w:rPr>
          <w:rFonts w:ascii="Arial" w:eastAsia="Calibri" w:hAnsi="Arial" w:cs="Arial"/>
          <w:color w:val="000000"/>
          <w:sz w:val="24"/>
          <w:szCs w:val="24"/>
          <w:lang w:val="es-MX"/>
        </w:rPr>
        <w:t xml:space="preserve">Interapas y que con fecha 11 de diciembre de 2017, el C. </w:t>
      </w:r>
      <w:r w:rsidR="00944696">
        <w:rPr>
          <w:rFonts w:ascii="Arial" w:eastAsia="Calibri" w:hAnsi="Arial" w:cs="Arial"/>
          <w:color w:val="FF0000"/>
          <w:sz w:val="24"/>
          <w:szCs w:val="24"/>
          <w:lang w:val="es-MX"/>
        </w:rPr>
        <w:t>**********</w:t>
      </w:r>
      <w:r w:rsidR="00A11B7E">
        <w:rPr>
          <w:rFonts w:ascii="Arial" w:eastAsia="Calibri" w:hAnsi="Arial" w:cs="Arial"/>
          <w:color w:val="000000"/>
          <w:sz w:val="24"/>
          <w:szCs w:val="24"/>
          <w:lang w:val="es-MX"/>
        </w:rPr>
        <w:t>, solicitó a la demandante la información diversa, respecto del oficio antes referido.</w:t>
      </w:r>
    </w:p>
    <w:p w:rsidR="00290D04" w:rsidRPr="00EB2542" w:rsidRDefault="00290D04" w:rsidP="005D2EC3">
      <w:pPr>
        <w:spacing w:after="0" w:line="360" w:lineRule="auto"/>
        <w:ind w:firstLine="709"/>
        <w:jc w:val="both"/>
        <w:rPr>
          <w:rFonts w:ascii="Arial" w:eastAsia="Calibri" w:hAnsi="Arial" w:cs="Arial"/>
          <w:color w:val="000000"/>
          <w:sz w:val="28"/>
          <w:szCs w:val="28"/>
          <w:lang w:val="es-MX"/>
        </w:rPr>
      </w:pPr>
    </w:p>
    <w:p w:rsidR="00C30578" w:rsidRDefault="007037B5" w:rsidP="005D2EC3">
      <w:pPr>
        <w:spacing w:after="0" w:line="360" w:lineRule="auto"/>
        <w:ind w:firstLine="709"/>
        <w:jc w:val="both"/>
        <w:rPr>
          <w:rFonts w:ascii="Arial" w:eastAsia="Calibri" w:hAnsi="Arial" w:cs="Arial"/>
          <w:color w:val="000000"/>
          <w:sz w:val="24"/>
          <w:szCs w:val="24"/>
          <w:lang w:val="es-MX"/>
        </w:rPr>
      </w:pPr>
      <w:r>
        <w:rPr>
          <w:rFonts w:ascii="Arial" w:eastAsia="Calibri" w:hAnsi="Arial" w:cs="Arial"/>
          <w:color w:val="000000"/>
          <w:sz w:val="24"/>
          <w:szCs w:val="24"/>
          <w:lang w:val="es-MX"/>
        </w:rPr>
        <w:t xml:space="preserve">De lo anterior se desprende que </w:t>
      </w:r>
      <w:r w:rsidR="00837699">
        <w:rPr>
          <w:rFonts w:ascii="Arial" w:eastAsia="Calibri" w:hAnsi="Arial" w:cs="Arial"/>
          <w:color w:val="000000"/>
          <w:sz w:val="24"/>
          <w:szCs w:val="24"/>
          <w:lang w:val="es-MX"/>
        </w:rPr>
        <w:t>d</w:t>
      </w:r>
      <w:r>
        <w:rPr>
          <w:rFonts w:ascii="Arial" w:eastAsia="Calibri" w:hAnsi="Arial" w:cs="Arial"/>
          <w:color w:val="000000"/>
          <w:sz w:val="24"/>
          <w:szCs w:val="24"/>
          <w:lang w:val="es-MX"/>
        </w:rPr>
        <w:t xml:space="preserve">el oficio </w:t>
      </w:r>
      <w:r w:rsidR="00944696">
        <w:rPr>
          <w:rFonts w:ascii="Arial" w:eastAsia="Calibri" w:hAnsi="Arial" w:cs="Arial"/>
          <w:color w:val="FF0000"/>
          <w:sz w:val="24"/>
          <w:szCs w:val="24"/>
          <w:lang w:val="es-MX"/>
        </w:rPr>
        <w:t>**********</w:t>
      </w:r>
      <w:r w:rsidR="00735A57">
        <w:rPr>
          <w:rFonts w:ascii="Arial" w:eastAsia="Calibri" w:hAnsi="Arial" w:cs="Arial"/>
          <w:color w:val="000000"/>
          <w:sz w:val="24"/>
          <w:szCs w:val="24"/>
          <w:lang w:val="es-MX"/>
        </w:rPr>
        <w:t xml:space="preserve">, </w:t>
      </w:r>
      <w:r>
        <w:rPr>
          <w:rFonts w:ascii="Arial" w:eastAsia="Calibri" w:hAnsi="Arial" w:cs="Arial"/>
          <w:color w:val="000000"/>
          <w:sz w:val="24"/>
          <w:szCs w:val="24"/>
          <w:lang w:val="es-MX"/>
        </w:rPr>
        <w:t>de fecha 27 de noviembre del 2017, emitido por la Directora de Comercialización</w:t>
      </w:r>
      <w:r w:rsidR="00837699">
        <w:rPr>
          <w:rFonts w:ascii="Arial" w:eastAsia="Calibri" w:hAnsi="Arial" w:cs="Arial"/>
          <w:color w:val="000000"/>
          <w:sz w:val="24"/>
          <w:szCs w:val="24"/>
          <w:lang w:val="es-MX"/>
        </w:rPr>
        <w:t xml:space="preserve"> de Interapas, </w:t>
      </w:r>
      <w:r w:rsidR="0001299B">
        <w:rPr>
          <w:rFonts w:ascii="Arial" w:eastAsia="Calibri" w:hAnsi="Arial" w:cs="Arial"/>
          <w:color w:val="000000"/>
          <w:sz w:val="24"/>
          <w:szCs w:val="24"/>
          <w:lang w:val="es-MX"/>
        </w:rPr>
        <w:t xml:space="preserve">la parte actora, </w:t>
      </w:r>
      <w:r w:rsidR="00837699">
        <w:rPr>
          <w:rFonts w:ascii="Arial" w:eastAsia="Calibri" w:hAnsi="Arial" w:cs="Arial"/>
          <w:color w:val="000000"/>
          <w:sz w:val="24"/>
          <w:szCs w:val="24"/>
          <w:lang w:val="es-MX"/>
        </w:rPr>
        <w:t xml:space="preserve">ya tenía conocimiento del mismo, </w:t>
      </w:r>
      <w:r w:rsidR="0001299B">
        <w:rPr>
          <w:rFonts w:ascii="Arial" w:eastAsia="Calibri" w:hAnsi="Arial" w:cs="Arial"/>
          <w:color w:val="000000"/>
          <w:sz w:val="24"/>
          <w:szCs w:val="24"/>
          <w:lang w:val="es-MX"/>
        </w:rPr>
        <w:t xml:space="preserve">desde el </w:t>
      </w:r>
      <w:r w:rsidR="00837699">
        <w:rPr>
          <w:rFonts w:ascii="Arial" w:eastAsia="Calibri" w:hAnsi="Arial" w:cs="Arial"/>
          <w:color w:val="000000"/>
          <w:sz w:val="24"/>
          <w:szCs w:val="24"/>
          <w:lang w:val="es-MX"/>
        </w:rPr>
        <w:t>11 de diciembre de 2017, fecha en que formula solicitud a la demandada, como consta de la petición que obra a fojas 30 de autos, y por tanto, se considera como consentido el mismo, pues no fue impugnado en sus términos,</w:t>
      </w:r>
      <w:r w:rsidR="00290D04">
        <w:rPr>
          <w:rFonts w:ascii="Arial" w:eastAsia="Calibri" w:hAnsi="Arial" w:cs="Arial"/>
          <w:color w:val="000000"/>
          <w:sz w:val="24"/>
          <w:szCs w:val="24"/>
          <w:lang w:val="es-MX"/>
        </w:rPr>
        <w:t xml:space="preserve"> </w:t>
      </w:r>
      <w:r w:rsidR="00837699">
        <w:rPr>
          <w:rFonts w:ascii="Arial" w:eastAsia="Calibri" w:hAnsi="Arial" w:cs="Arial"/>
          <w:color w:val="000000"/>
          <w:sz w:val="24"/>
          <w:szCs w:val="24"/>
          <w:lang w:val="es-MX"/>
        </w:rPr>
        <w:t xml:space="preserve">dentro del plazo legal de 30 días, establecido por </w:t>
      </w:r>
      <w:r w:rsidR="0001299B">
        <w:rPr>
          <w:rFonts w:ascii="Arial" w:eastAsia="Calibri" w:hAnsi="Arial" w:cs="Arial"/>
          <w:color w:val="000000"/>
          <w:sz w:val="24"/>
          <w:szCs w:val="24"/>
          <w:lang w:val="es-MX"/>
        </w:rPr>
        <w:t xml:space="preserve">el artículo 24 fracción I, inciso c) del Código Procesal Administrativo para el Estado de San Luis Potosí. </w:t>
      </w:r>
    </w:p>
    <w:p w:rsidR="00740B4F" w:rsidRPr="00EB2542" w:rsidRDefault="00740B4F" w:rsidP="005D2EC3">
      <w:pPr>
        <w:spacing w:after="0" w:line="360" w:lineRule="auto"/>
        <w:ind w:firstLine="709"/>
        <w:jc w:val="both"/>
        <w:rPr>
          <w:rFonts w:ascii="Arial" w:eastAsia="Calibri" w:hAnsi="Arial" w:cs="Arial"/>
          <w:color w:val="000000"/>
          <w:sz w:val="28"/>
          <w:szCs w:val="28"/>
          <w:lang w:val="es-MX"/>
        </w:rPr>
      </w:pPr>
    </w:p>
    <w:p w:rsidR="00DF1E23" w:rsidRDefault="003C39C4" w:rsidP="00DF1E23">
      <w:pPr>
        <w:spacing w:after="0" w:line="360" w:lineRule="auto"/>
        <w:ind w:firstLine="709"/>
        <w:jc w:val="both"/>
        <w:rPr>
          <w:rFonts w:ascii="Arial" w:eastAsia="Calibri" w:hAnsi="Arial" w:cs="Arial"/>
          <w:color w:val="000000"/>
          <w:sz w:val="24"/>
          <w:szCs w:val="24"/>
          <w:lang w:val="es-MX"/>
        </w:rPr>
      </w:pPr>
      <w:r>
        <w:rPr>
          <w:rFonts w:ascii="Arial" w:eastAsia="Calibri" w:hAnsi="Arial" w:cs="Arial"/>
          <w:color w:val="000000"/>
          <w:sz w:val="24"/>
          <w:szCs w:val="24"/>
          <w:lang w:val="es-MX"/>
        </w:rPr>
        <w:t xml:space="preserve">Y toda vez que el oficio </w:t>
      </w:r>
      <w:r w:rsidR="00944696">
        <w:rPr>
          <w:rFonts w:ascii="Arial" w:eastAsia="Calibri" w:hAnsi="Arial" w:cs="Arial"/>
          <w:color w:val="FF0000"/>
          <w:sz w:val="24"/>
          <w:szCs w:val="24"/>
          <w:lang w:val="es-MX"/>
        </w:rPr>
        <w:t>**********</w:t>
      </w:r>
      <w:r>
        <w:rPr>
          <w:rFonts w:ascii="Arial" w:eastAsia="Calibri" w:hAnsi="Arial" w:cs="Arial"/>
          <w:color w:val="000000"/>
          <w:sz w:val="24"/>
          <w:szCs w:val="24"/>
          <w:lang w:val="es-MX"/>
        </w:rPr>
        <w:t>, de 21 de diciembre de 2017, corresponde a una información que la autoridad demandada realiza a la parte actora, en atención a una solicitud formulada por el mismo, con fecha 11 de diciembre de 2017</w:t>
      </w:r>
      <w:r w:rsidR="001A049B">
        <w:rPr>
          <w:rFonts w:ascii="Arial" w:eastAsia="Calibri" w:hAnsi="Arial" w:cs="Arial"/>
          <w:color w:val="000000"/>
          <w:sz w:val="24"/>
          <w:szCs w:val="24"/>
          <w:lang w:val="es-MX"/>
        </w:rPr>
        <w:t>, el cual como se ha venido señalando, no fue emitido en alcance al oficio citado en el párrafo anterior, pues este se dictó en contestación a una solicitud del actor</w:t>
      </w:r>
      <w:r w:rsidR="00DF1E23">
        <w:rPr>
          <w:rFonts w:ascii="Arial" w:eastAsia="Calibri" w:hAnsi="Arial" w:cs="Arial"/>
          <w:color w:val="000000"/>
          <w:sz w:val="24"/>
          <w:szCs w:val="24"/>
          <w:lang w:val="es-MX"/>
        </w:rPr>
        <w:t>;</w:t>
      </w:r>
      <w:r w:rsidR="001A049B">
        <w:rPr>
          <w:rFonts w:ascii="Arial" w:eastAsia="Calibri" w:hAnsi="Arial" w:cs="Arial"/>
          <w:color w:val="000000"/>
          <w:sz w:val="24"/>
          <w:szCs w:val="24"/>
          <w:lang w:val="es-MX"/>
        </w:rPr>
        <w:t xml:space="preserve"> por </w:t>
      </w:r>
      <w:r w:rsidR="00DF1E23">
        <w:rPr>
          <w:rFonts w:ascii="Arial" w:eastAsia="Calibri" w:hAnsi="Arial" w:cs="Arial"/>
          <w:color w:val="000000"/>
          <w:sz w:val="24"/>
          <w:szCs w:val="24"/>
          <w:lang w:val="es-MX"/>
        </w:rPr>
        <w:t>tanto</w:t>
      </w:r>
      <w:r w:rsidR="001A049B">
        <w:rPr>
          <w:rFonts w:ascii="Arial" w:eastAsia="Calibri" w:hAnsi="Arial" w:cs="Arial"/>
          <w:color w:val="000000"/>
          <w:sz w:val="24"/>
          <w:szCs w:val="24"/>
          <w:lang w:val="es-MX"/>
        </w:rPr>
        <w:t xml:space="preserve"> no le asiste la razón a la parte actora, cuando argumenta en el capítulo IV denominado “Resolución o Acto que se Impugna”, de su escrito inicial de demanda, que hasta la fecha en que fue de su conocimiento el documento de referencia (oficio </w:t>
      </w:r>
      <w:r w:rsidR="00944696">
        <w:rPr>
          <w:rFonts w:ascii="Arial" w:eastAsia="Calibri" w:hAnsi="Arial" w:cs="Arial"/>
          <w:color w:val="FF0000"/>
          <w:sz w:val="24"/>
          <w:szCs w:val="24"/>
          <w:lang w:val="es-MX"/>
        </w:rPr>
        <w:t>**********</w:t>
      </w:r>
      <w:r w:rsidR="001A049B">
        <w:rPr>
          <w:rFonts w:ascii="Arial" w:eastAsia="Calibri" w:hAnsi="Arial" w:cs="Arial"/>
          <w:color w:val="000000"/>
          <w:sz w:val="24"/>
          <w:szCs w:val="24"/>
          <w:lang w:val="es-MX"/>
        </w:rPr>
        <w:t xml:space="preserve">), </w:t>
      </w:r>
      <w:r w:rsidR="001A049B">
        <w:rPr>
          <w:rFonts w:ascii="Arial" w:eastAsia="Calibri" w:hAnsi="Arial" w:cs="Arial"/>
          <w:color w:val="000000"/>
          <w:sz w:val="24"/>
          <w:szCs w:val="24"/>
          <w:lang w:val="es-MX"/>
        </w:rPr>
        <w:lastRenderedPageBreak/>
        <w:t xml:space="preserve">que fue el último dictado en el procedimiento administrativo, es el que asume el carácter de definitivo, por ser la sucesión legalmente ordenada de hechos y actos tendentes al nacimiento de una decisión final materialmente administrativa. </w:t>
      </w:r>
    </w:p>
    <w:p w:rsidR="00DF1E23" w:rsidRPr="00EB2542" w:rsidRDefault="00DF1E23" w:rsidP="00DF1E23">
      <w:pPr>
        <w:spacing w:after="0" w:line="360" w:lineRule="auto"/>
        <w:ind w:firstLine="709"/>
        <w:jc w:val="both"/>
        <w:rPr>
          <w:rFonts w:ascii="Arial" w:eastAsia="Calibri" w:hAnsi="Arial" w:cs="Arial"/>
          <w:color w:val="000000"/>
          <w:sz w:val="28"/>
          <w:szCs w:val="28"/>
          <w:lang w:val="es-MX"/>
        </w:rPr>
      </w:pPr>
    </w:p>
    <w:p w:rsidR="00DF1E23" w:rsidRDefault="001A049B" w:rsidP="00DF1E23">
      <w:pPr>
        <w:spacing w:after="0" w:line="360" w:lineRule="auto"/>
        <w:ind w:firstLine="709"/>
        <w:jc w:val="both"/>
        <w:rPr>
          <w:rFonts w:ascii="Arial" w:eastAsia="Calibri" w:hAnsi="Arial" w:cs="Arial"/>
          <w:color w:val="000000"/>
          <w:sz w:val="24"/>
          <w:szCs w:val="24"/>
          <w:lang w:val="es-MX"/>
        </w:rPr>
      </w:pPr>
      <w:r>
        <w:rPr>
          <w:rFonts w:ascii="Arial" w:eastAsia="Calibri" w:hAnsi="Arial" w:cs="Arial"/>
          <w:color w:val="000000"/>
          <w:sz w:val="24"/>
          <w:szCs w:val="24"/>
          <w:lang w:val="es-MX"/>
        </w:rPr>
        <w:t xml:space="preserve">Siendo así lo anterior, en virtud de que el oficio </w:t>
      </w:r>
      <w:r w:rsidR="00944696">
        <w:rPr>
          <w:rFonts w:ascii="Arial" w:eastAsia="Calibri" w:hAnsi="Arial" w:cs="Arial"/>
          <w:color w:val="FF0000"/>
          <w:sz w:val="24"/>
          <w:szCs w:val="24"/>
          <w:lang w:val="es-MX"/>
        </w:rPr>
        <w:t>**********</w:t>
      </w:r>
      <w:r>
        <w:rPr>
          <w:rFonts w:ascii="Arial" w:eastAsia="Calibri" w:hAnsi="Arial" w:cs="Arial"/>
          <w:color w:val="000000"/>
          <w:sz w:val="24"/>
          <w:szCs w:val="24"/>
          <w:lang w:val="es-MX"/>
        </w:rPr>
        <w:t xml:space="preserve">, de fecha 27 de noviembre del 2017, emitido por la Directora de Comercialización de Interapas, </w:t>
      </w:r>
      <w:r w:rsidR="00CB4BAD">
        <w:rPr>
          <w:rFonts w:ascii="Arial" w:eastAsia="Calibri" w:hAnsi="Arial" w:cs="Arial"/>
          <w:color w:val="000000"/>
          <w:sz w:val="24"/>
          <w:szCs w:val="24"/>
          <w:lang w:val="es-MX"/>
        </w:rPr>
        <w:t xml:space="preserve">por el cual se hace del conocimiento a la parte actora el cálculo relativo al adeudo por descarga de contaminantes a la red de drenaje municipal, correspondiente al 4to. Trimestre del 2013 al 3er trimestre de 2017 con número de expediente </w:t>
      </w:r>
      <w:r w:rsidR="00944696">
        <w:rPr>
          <w:rFonts w:ascii="Arial" w:eastAsia="Calibri" w:hAnsi="Arial" w:cs="Arial"/>
          <w:color w:val="FF0000"/>
          <w:sz w:val="24"/>
          <w:szCs w:val="24"/>
          <w:lang w:val="es-MX"/>
        </w:rPr>
        <w:t>**********</w:t>
      </w:r>
      <w:r w:rsidR="00CB4BAD">
        <w:rPr>
          <w:rFonts w:ascii="Arial" w:eastAsia="Calibri" w:hAnsi="Arial" w:cs="Arial"/>
          <w:color w:val="000000"/>
          <w:sz w:val="24"/>
          <w:szCs w:val="24"/>
          <w:lang w:val="es-MX"/>
        </w:rPr>
        <w:t xml:space="preserve">, por un total de </w:t>
      </w:r>
      <w:r w:rsidR="00944696">
        <w:rPr>
          <w:rFonts w:ascii="Arial" w:eastAsia="Calibri" w:hAnsi="Arial" w:cs="Arial"/>
          <w:color w:val="FF0000"/>
          <w:sz w:val="24"/>
          <w:szCs w:val="24"/>
          <w:lang w:val="es-MX"/>
        </w:rPr>
        <w:t>**********</w:t>
      </w:r>
      <w:r w:rsidR="00CB4BAD">
        <w:rPr>
          <w:rFonts w:ascii="Arial" w:eastAsia="Calibri" w:hAnsi="Arial" w:cs="Arial"/>
          <w:color w:val="000000"/>
          <w:sz w:val="24"/>
          <w:szCs w:val="24"/>
          <w:lang w:val="es-MX"/>
        </w:rPr>
        <w:t xml:space="preserve">pesos; </w:t>
      </w:r>
      <w:r w:rsidR="00DF1E23">
        <w:rPr>
          <w:rFonts w:ascii="Arial" w:eastAsia="Calibri" w:hAnsi="Arial" w:cs="Arial"/>
          <w:color w:val="000000"/>
          <w:sz w:val="24"/>
          <w:szCs w:val="24"/>
          <w:lang w:val="es-MX"/>
        </w:rPr>
        <w:t>constituye una resolución definitiva impugnable, la cual le causa agravio a la parte actora, desde el mismo momento en que se emite.</w:t>
      </w:r>
    </w:p>
    <w:p w:rsidR="003C39C4" w:rsidRPr="00EB2542" w:rsidRDefault="001A049B" w:rsidP="005D2EC3">
      <w:pPr>
        <w:spacing w:after="0" w:line="360" w:lineRule="auto"/>
        <w:ind w:firstLine="709"/>
        <w:jc w:val="both"/>
        <w:rPr>
          <w:rFonts w:ascii="Arial" w:eastAsia="Calibri" w:hAnsi="Arial" w:cs="Arial"/>
          <w:color w:val="000000"/>
          <w:sz w:val="28"/>
          <w:szCs w:val="28"/>
          <w:lang w:val="es-MX"/>
        </w:rPr>
      </w:pPr>
      <w:r>
        <w:rPr>
          <w:rFonts w:ascii="Arial" w:eastAsia="Calibri" w:hAnsi="Arial" w:cs="Arial"/>
          <w:color w:val="000000"/>
          <w:sz w:val="24"/>
          <w:szCs w:val="24"/>
          <w:lang w:val="es-MX"/>
        </w:rPr>
        <w:t xml:space="preserve"> </w:t>
      </w:r>
    </w:p>
    <w:p w:rsidR="003C39C4" w:rsidRDefault="00DF1E23" w:rsidP="005D2EC3">
      <w:pPr>
        <w:spacing w:after="0" w:line="360" w:lineRule="auto"/>
        <w:ind w:firstLine="709"/>
        <w:jc w:val="both"/>
        <w:rPr>
          <w:rFonts w:ascii="Arial" w:eastAsia="Calibri" w:hAnsi="Arial" w:cs="Arial"/>
          <w:color w:val="000000"/>
          <w:sz w:val="24"/>
          <w:szCs w:val="24"/>
          <w:lang w:val="es-MX"/>
        </w:rPr>
      </w:pPr>
      <w:r>
        <w:rPr>
          <w:rFonts w:ascii="Arial" w:eastAsia="Calibri" w:hAnsi="Arial" w:cs="Arial"/>
          <w:color w:val="000000"/>
          <w:sz w:val="24"/>
          <w:szCs w:val="24"/>
          <w:lang w:val="es-MX"/>
        </w:rPr>
        <w:t xml:space="preserve">Contrario a lo anterior, </w:t>
      </w:r>
      <w:r w:rsidR="00CC00FB">
        <w:rPr>
          <w:rFonts w:ascii="Arial" w:eastAsia="Calibri" w:hAnsi="Arial" w:cs="Arial"/>
          <w:color w:val="000000"/>
          <w:sz w:val="24"/>
          <w:szCs w:val="24"/>
          <w:lang w:val="es-MX"/>
        </w:rPr>
        <w:t>e</w:t>
      </w:r>
      <w:r>
        <w:rPr>
          <w:rFonts w:ascii="Arial" w:eastAsia="Calibri" w:hAnsi="Arial" w:cs="Arial"/>
          <w:color w:val="000000"/>
          <w:sz w:val="24"/>
          <w:szCs w:val="24"/>
          <w:lang w:val="es-MX"/>
        </w:rPr>
        <w:t xml:space="preserve">l oficio </w:t>
      </w:r>
      <w:r w:rsidR="00944696">
        <w:rPr>
          <w:rFonts w:ascii="Arial" w:eastAsia="Calibri" w:hAnsi="Arial" w:cs="Arial"/>
          <w:color w:val="FF0000"/>
          <w:sz w:val="24"/>
          <w:szCs w:val="24"/>
          <w:lang w:val="es-MX"/>
        </w:rPr>
        <w:t>**********</w:t>
      </w:r>
      <w:r>
        <w:rPr>
          <w:rFonts w:ascii="Arial" w:eastAsia="Calibri" w:hAnsi="Arial" w:cs="Arial"/>
          <w:color w:val="000000"/>
          <w:sz w:val="24"/>
          <w:szCs w:val="24"/>
          <w:lang w:val="es-MX"/>
        </w:rPr>
        <w:t xml:space="preserve">, de 21 de diciembre de 2017, no </w:t>
      </w:r>
      <w:r w:rsidR="00CC00FB">
        <w:rPr>
          <w:rFonts w:ascii="Arial" w:eastAsia="Calibri" w:hAnsi="Arial" w:cs="Arial"/>
          <w:color w:val="000000"/>
          <w:sz w:val="24"/>
          <w:szCs w:val="24"/>
          <w:lang w:val="es-MX"/>
        </w:rPr>
        <w:t>corresponde a una sucesión del</w:t>
      </w:r>
      <w:r>
        <w:rPr>
          <w:rFonts w:ascii="Arial" w:eastAsia="Calibri" w:hAnsi="Arial" w:cs="Arial"/>
          <w:color w:val="000000"/>
          <w:sz w:val="24"/>
          <w:szCs w:val="24"/>
          <w:lang w:val="es-MX"/>
        </w:rPr>
        <w:t xml:space="preserve"> oficio </w:t>
      </w:r>
      <w:r w:rsidR="00944696">
        <w:rPr>
          <w:rFonts w:ascii="Arial" w:eastAsia="Calibri" w:hAnsi="Arial" w:cs="Arial"/>
          <w:color w:val="FF0000"/>
          <w:sz w:val="24"/>
          <w:szCs w:val="24"/>
          <w:lang w:val="es-MX"/>
        </w:rPr>
        <w:t>**********</w:t>
      </w:r>
      <w:r>
        <w:rPr>
          <w:rFonts w:ascii="Arial" w:eastAsia="Calibri" w:hAnsi="Arial" w:cs="Arial"/>
          <w:color w:val="000000"/>
          <w:sz w:val="24"/>
          <w:szCs w:val="24"/>
          <w:lang w:val="es-MX"/>
        </w:rPr>
        <w:t xml:space="preserve">referido, </w:t>
      </w:r>
      <w:r w:rsidR="00CC00FB">
        <w:rPr>
          <w:rFonts w:ascii="Arial" w:eastAsia="Calibri" w:hAnsi="Arial" w:cs="Arial"/>
          <w:color w:val="000000"/>
          <w:sz w:val="24"/>
          <w:szCs w:val="24"/>
          <w:lang w:val="es-MX"/>
        </w:rPr>
        <w:t xml:space="preserve">como lo menciona la parte actora, toda vez que este es emitido por la demandada a manera de información, en contestación a una solicitud que realiza la parte actora, con fecha 11 de diciembre de 2017, el cual no le irroga ningún </w:t>
      </w:r>
      <w:r w:rsidR="00F53429">
        <w:rPr>
          <w:rFonts w:ascii="Arial" w:eastAsia="Calibri" w:hAnsi="Arial" w:cs="Arial"/>
          <w:color w:val="000000"/>
          <w:sz w:val="24"/>
          <w:szCs w:val="24"/>
          <w:lang w:val="es-MX"/>
        </w:rPr>
        <w:t xml:space="preserve">perjuicio, ni se tiene como parte de un procedimiento, pues en ningún momento se advierte que la parte actora se hubiera inconformado por el oficio </w:t>
      </w:r>
      <w:r w:rsidR="00944696">
        <w:rPr>
          <w:rFonts w:ascii="Arial" w:eastAsia="Calibri" w:hAnsi="Arial" w:cs="Arial"/>
          <w:color w:val="FF0000"/>
          <w:sz w:val="24"/>
          <w:szCs w:val="24"/>
          <w:lang w:val="es-MX"/>
        </w:rPr>
        <w:t>**********</w:t>
      </w:r>
      <w:r w:rsidR="00F53429">
        <w:rPr>
          <w:rFonts w:ascii="Arial" w:eastAsia="Calibri" w:hAnsi="Arial" w:cs="Arial"/>
          <w:color w:val="000000"/>
          <w:sz w:val="24"/>
          <w:szCs w:val="24"/>
          <w:lang w:val="es-MX"/>
        </w:rPr>
        <w:t>ya citado, ni la solicitud efectuada a la demandada con fecha 11 de diciembre de 2017, se constituye como una manifestación de inconformidad, además de que esta no tendría el carácter de medio de impugnación que permitiera estimar como no consentido el acto respectivo.</w:t>
      </w:r>
    </w:p>
    <w:p w:rsidR="00F53429" w:rsidRPr="00EB2542" w:rsidRDefault="00F53429" w:rsidP="005D2EC3">
      <w:pPr>
        <w:spacing w:after="0" w:line="360" w:lineRule="auto"/>
        <w:ind w:firstLine="709"/>
        <w:jc w:val="both"/>
        <w:rPr>
          <w:rFonts w:ascii="Arial" w:eastAsia="Calibri" w:hAnsi="Arial" w:cs="Arial"/>
          <w:color w:val="000000"/>
          <w:sz w:val="28"/>
          <w:szCs w:val="28"/>
          <w:lang w:val="es-MX"/>
        </w:rPr>
      </w:pPr>
    </w:p>
    <w:p w:rsidR="00EB2D8A" w:rsidRDefault="00F53429" w:rsidP="00EB2D8A">
      <w:pPr>
        <w:spacing w:after="0" w:line="360" w:lineRule="auto"/>
        <w:ind w:firstLine="709"/>
        <w:jc w:val="both"/>
        <w:rPr>
          <w:rFonts w:ascii="Arial" w:eastAsia="Calibri" w:hAnsi="Arial" w:cs="Arial"/>
          <w:color w:val="000000"/>
          <w:sz w:val="24"/>
          <w:szCs w:val="24"/>
          <w:lang w:val="es-MX"/>
        </w:rPr>
      </w:pPr>
      <w:r>
        <w:rPr>
          <w:rFonts w:ascii="Arial" w:eastAsia="Calibri" w:hAnsi="Arial" w:cs="Arial"/>
          <w:color w:val="000000"/>
          <w:sz w:val="24"/>
          <w:szCs w:val="24"/>
          <w:lang w:val="es-MX"/>
        </w:rPr>
        <w:t xml:space="preserve">De lo anterior, se advierte que se está en presencia de un acto derivado de otro que ya consintió el actor, pues la parte demandante formula una solicitud de información como ya se ha venido señalando a la Directora de Comercialización, con fecha 11 de diciembre de 2017 y que no obstante que esta solicitud de información se hace con base en el oficio </w:t>
      </w:r>
      <w:r w:rsidR="00944696">
        <w:rPr>
          <w:rFonts w:ascii="Arial" w:eastAsia="Calibri" w:hAnsi="Arial" w:cs="Arial"/>
          <w:color w:val="FF0000"/>
          <w:sz w:val="24"/>
          <w:szCs w:val="24"/>
          <w:lang w:val="es-MX"/>
        </w:rPr>
        <w:t>**********</w:t>
      </w:r>
      <w:r w:rsidR="00EB2D8A">
        <w:rPr>
          <w:rFonts w:ascii="Arial" w:eastAsia="Calibri" w:hAnsi="Arial" w:cs="Arial"/>
          <w:color w:val="000000"/>
          <w:sz w:val="24"/>
          <w:szCs w:val="24"/>
          <w:lang w:val="es-MX"/>
        </w:rPr>
        <w:t xml:space="preserve">de fecha 27 de noviembre de 2017 y que no se considera el primer oficio emitido, como sucesión o complemento del segundo, por lo que esta Sala Unitaria </w:t>
      </w:r>
      <w:r w:rsidR="002119DF">
        <w:rPr>
          <w:rFonts w:ascii="Arial" w:eastAsia="Calibri" w:hAnsi="Arial" w:cs="Arial"/>
          <w:color w:val="000000"/>
          <w:sz w:val="24"/>
          <w:szCs w:val="24"/>
          <w:lang w:val="es-MX"/>
        </w:rPr>
        <w:t>observa</w:t>
      </w:r>
      <w:r w:rsidR="00EB2D8A">
        <w:rPr>
          <w:rFonts w:ascii="Arial" w:eastAsia="Calibri" w:hAnsi="Arial" w:cs="Arial"/>
          <w:color w:val="000000"/>
          <w:sz w:val="24"/>
          <w:szCs w:val="24"/>
          <w:lang w:val="es-MX"/>
        </w:rPr>
        <w:t xml:space="preserve"> que el oficio </w:t>
      </w:r>
      <w:r w:rsidR="00944696">
        <w:rPr>
          <w:rFonts w:ascii="Arial" w:eastAsia="Calibri" w:hAnsi="Arial" w:cs="Arial"/>
          <w:color w:val="FF0000"/>
          <w:sz w:val="24"/>
          <w:szCs w:val="24"/>
          <w:lang w:val="es-MX"/>
        </w:rPr>
        <w:t>**********</w:t>
      </w:r>
      <w:r w:rsidR="00EB2D8A">
        <w:rPr>
          <w:rFonts w:ascii="Arial" w:eastAsia="Calibri" w:hAnsi="Arial" w:cs="Arial"/>
          <w:color w:val="000000"/>
          <w:sz w:val="24"/>
          <w:szCs w:val="24"/>
          <w:lang w:val="es-MX"/>
        </w:rPr>
        <w:t>de fecha 27 de noviembre de 2017, el cual constituye una resolución definitiva, al momento de ser emitido, ya había sido consentido por la actora, al no ser impugnado, mediante el juicio de nulidad, dentro</w:t>
      </w:r>
      <w:r w:rsidR="00EB2D8A" w:rsidRPr="00EB2D8A">
        <w:rPr>
          <w:rFonts w:ascii="Arial" w:eastAsia="Calibri" w:hAnsi="Arial" w:cs="Arial"/>
          <w:color w:val="000000"/>
          <w:sz w:val="24"/>
          <w:szCs w:val="24"/>
          <w:lang w:val="es-MX"/>
        </w:rPr>
        <w:t xml:space="preserve"> </w:t>
      </w:r>
      <w:r w:rsidR="00EB2D8A">
        <w:rPr>
          <w:rFonts w:ascii="Arial" w:eastAsia="Calibri" w:hAnsi="Arial" w:cs="Arial"/>
          <w:color w:val="000000"/>
          <w:sz w:val="24"/>
          <w:szCs w:val="24"/>
          <w:lang w:val="es-MX"/>
        </w:rPr>
        <w:t xml:space="preserve">del plazo legal de 30 días, establecido por el artículo 24 </w:t>
      </w:r>
      <w:r w:rsidR="00EB2D8A">
        <w:rPr>
          <w:rFonts w:ascii="Arial" w:eastAsia="Calibri" w:hAnsi="Arial" w:cs="Arial"/>
          <w:color w:val="000000"/>
          <w:sz w:val="24"/>
          <w:szCs w:val="24"/>
          <w:lang w:val="es-MX"/>
        </w:rPr>
        <w:lastRenderedPageBreak/>
        <w:t xml:space="preserve">fracción I, inciso c) del Código Procesal Administrativo para el Estado de San Luis Potosí. </w:t>
      </w:r>
    </w:p>
    <w:p w:rsidR="00EB2D8A" w:rsidRPr="00000559" w:rsidRDefault="00EB2D8A" w:rsidP="005D2EC3">
      <w:pPr>
        <w:spacing w:after="0" w:line="360" w:lineRule="auto"/>
        <w:ind w:firstLine="709"/>
        <w:jc w:val="both"/>
        <w:rPr>
          <w:rFonts w:ascii="Arial" w:eastAsia="Calibri" w:hAnsi="Arial" w:cs="Arial"/>
          <w:color w:val="000000"/>
          <w:sz w:val="16"/>
          <w:szCs w:val="16"/>
          <w:lang w:val="es-MX"/>
        </w:rPr>
      </w:pPr>
    </w:p>
    <w:p w:rsidR="00EB2D8A" w:rsidRDefault="00EB2D8A" w:rsidP="00EB2D8A">
      <w:pPr>
        <w:spacing w:after="0" w:line="360" w:lineRule="auto"/>
        <w:ind w:firstLine="709"/>
        <w:jc w:val="both"/>
        <w:rPr>
          <w:rFonts w:ascii="Arial" w:eastAsia="Calibri" w:hAnsi="Arial" w:cs="Arial"/>
          <w:color w:val="000000"/>
          <w:sz w:val="24"/>
          <w:szCs w:val="24"/>
          <w:lang w:val="es-MX"/>
        </w:rPr>
      </w:pPr>
      <w:r>
        <w:rPr>
          <w:rFonts w:ascii="Arial" w:eastAsia="Calibri" w:hAnsi="Arial" w:cs="Arial"/>
          <w:color w:val="000000"/>
          <w:sz w:val="24"/>
          <w:szCs w:val="24"/>
          <w:lang w:val="es-MX"/>
        </w:rPr>
        <w:t xml:space="preserve">Así las cosas, esta Tercera Sala Unitaria, considera procedente decretar el </w:t>
      </w:r>
      <w:r w:rsidRPr="00EB2D8A">
        <w:rPr>
          <w:rFonts w:ascii="Arial" w:eastAsia="Calibri" w:hAnsi="Arial" w:cs="Arial"/>
          <w:b/>
          <w:color w:val="000000"/>
          <w:sz w:val="24"/>
          <w:szCs w:val="24"/>
          <w:lang w:val="es-MX"/>
        </w:rPr>
        <w:t>SOBRESEIMIENTO</w:t>
      </w:r>
      <w:r>
        <w:rPr>
          <w:rFonts w:ascii="Arial" w:eastAsia="Calibri" w:hAnsi="Arial" w:cs="Arial"/>
          <w:color w:val="000000"/>
          <w:sz w:val="24"/>
          <w:szCs w:val="24"/>
          <w:lang w:val="es-MX"/>
        </w:rPr>
        <w:t xml:space="preserve"> del presente juicio, al actualizarse la causal a que se refiere la fracción VI del artículo 228, en relación con la fracción II del artículo 229 y  24 fracción I, inciso c) del Código Procesal Administrativo para el Estado de San Luis Potosí, toda vez que el acto impugnado deriva de otro que ya fue consentido por la parte actora. </w:t>
      </w:r>
    </w:p>
    <w:p w:rsidR="00EB2D8A" w:rsidRPr="00EB2542" w:rsidRDefault="00EB2D8A" w:rsidP="00EB2D8A">
      <w:pPr>
        <w:spacing w:after="0" w:line="360" w:lineRule="auto"/>
        <w:ind w:firstLine="709"/>
        <w:jc w:val="both"/>
        <w:rPr>
          <w:rFonts w:ascii="Arial" w:eastAsia="Calibri" w:hAnsi="Arial" w:cs="Arial"/>
          <w:color w:val="000000"/>
          <w:sz w:val="28"/>
          <w:szCs w:val="28"/>
          <w:lang w:val="es-MX"/>
        </w:rPr>
      </w:pPr>
    </w:p>
    <w:p w:rsidR="00EB2D8A" w:rsidRDefault="00EB2D8A" w:rsidP="00EB2D8A">
      <w:pPr>
        <w:spacing w:after="0" w:line="360" w:lineRule="auto"/>
        <w:ind w:firstLine="709"/>
        <w:jc w:val="both"/>
        <w:rPr>
          <w:rFonts w:ascii="Arial" w:eastAsia="Calibri" w:hAnsi="Arial" w:cs="Arial"/>
          <w:color w:val="000000"/>
          <w:sz w:val="24"/>
          <w:szCs w:val="24"/>
          <w:lang w:val="es-MX"/>
        </w:rPr>
      </w:pPr>
      <w:r>
        <w:rPr>
          <w:rFonts w:ascii="Arial" w:eastAsia="Calibri" w:hAnsi="Arial" w:cs="Arial"/>
          <w:color w:val="000000"/>
          <w:sz w:val="24"/>
          <w:szCs w:val="24"/>
          <w:lang w:val="es-MX"/>
        </w:rPr>
        <w:t xml:space="preserve">Sirve de apoyo a lo anterior, el criterio localizable en la Sexta </w:t>
      </w:r>
      <w:r w:rsidR="00F40AE3">
        <w:rPr>
          <w:rFonts w:ascii="Arial" w:eastAsia="Calibri" w:hAnsi="Arial" w:cs="Arial"/>
          <w:color w:val="000000"/>
          <w:sz w:val="24"/>
          <w:szCs w:val="24"/>
          <w:lang w:val="es-MX"/>
        </w:rPr>
        <w:t>Época</w:t>
      </w:r>
      <w:r>
        <w:rPr>
          <w:rFonts w:ascii="Arial" w:eastAsia="Calibri" w:hAnsi="Arial" w:cs="Arial"/>
          <w:color w:val="000000"/>
          <w:sz w:val="24"/>
          <w:szCs w:val="24"/>
          <w:lang w:val="es-MX"/>
        </w:rPr>
        <w:t xml:space="preserve"> del Semanario Judicial de la Federación, Segunda Sala, Volúmen </w:t>
      </w:r>
      <w:r w:rsidR="00EC4E54">
        <w:rPr>
          <w:rFonts w:ascii="Arial" w:eastAsia="Calibri" w:hAnsi="Arial" w:cs="Arial"/>
          <w:color w:val="000000"/>
          <w:sz w:val="24"/>
          <w:szCs w:val="24"/>
          <w:lang w:val="es-MX"/>
        </w:rPr>
        <w:t>C</w:t>
      </w:r>
      <w:r>
        <w:rPr>
          <w:rFonts w:ascii="Arial" w:eastAsia="Calibri" w:hAnsi="Arial" w:cs="Arial"/>
          <w:color w:val="000000"/>
          <w:sz w:val="24"/>
          <w:szCs w:val="24"/>
          <w:lang w:val="es-MX"/>
        </w:rPr>
        <w:t>X</w:t>
      </w:r>
      <w:r w:rsidR="00EC4E54">
        <w:rPr>
          <w:rFonts w:ascii="Arial" w:eastAsia="Calibri" w:hAnsi="Arial" w:cs="Arial"/>
          <w:color w:val="000000"/>
          <w:sz w:val="24"/>
          <w:szCs w:val="24"/>
          <w:lang w:val="es-MX"/>
        </w:rPr>
        <w:t>XXI, Tercera Parte, en materia Común, página 11, que a la letra dice:</w:t>
      </w:r>
    </w:p>
    <w:p w:rsidR="00AD5BC9" w:rsidRPr="007A0ED4" w:rsidRDefault="00AD5BC9" w:rsidP="00AD5BC9">
      <w:pPr>
        <w:spacing w:after="0" w:line="240" w:lineRule="auto"/>
        <w:jc w:val="both"/>
        <w:rPr>
          <w:rFonts w:ascii="Arial Narrow" w:eastAsia="Times New Roman" w:hAnsi="Arial Narrow" w:cs="Times New Roman"/>
          <w:sz w:val="28"/>
          <w:szCs w:val="28"/>
          <w:lang w:eastAsia="es-ES"/>
        </w:rPr>
      </w:pPr>
    </w:p>
    <w:p w:rsidR="00AD5BC9" w:rsidRPr="00EC4E54" w:rsidRDefault="00AD5BC9" w:rsidP="00AD5BC9">
      <w:pPr>
        <w:spacing w:after="0" w:line="240" w:lineRule="auto"/>
        <w:ind w:firstLine="708"/>
        <w:jc w:val="both"/>
        <w:rPr>
          <w:rFonts w:ascii="Arial Narrow" w:eastAsia="Times New Roman" w:hAnsi="Arial Narrow" w:cs="Times New Roman"/>
          <w:b/>
          <w:i/>
          <w:lang w:eastAsia="es-ES"/>
        </w:rPr>
      </w:pPr>
      <w:r w:rsidRPr="00EC4E54">
        <w:rPr>
          <w:rFonts w:ascii="Arial Narrow" w:eastAsia="Times New Roman" w:hAnsi="Arial Narrow" w:cs="Times New Roman"/>
          <w:b/>
          <w:i/>
          <w:lang w:eastAsia="es-ES"/>
        </w:rPr>
        <w:t>“ACTOS DERIVADOS DE ACTOS CONSENTIDOS.- Las causas que determinan la improcedencia del juicio de amparo deben estudiarse previamente, por ser de orden público, y no importa que en el caso haya necesidad de fijar los alcances del acto que se estima consentido a fin de determinar si los actos reclamados son o no consecuencia del mismo, pues la causal de improcedencia prevista en la fracción XI del artículo 73 de la Ley de Amparo, supone la existencia de una relación necesaria de causa a efecto entre dos o más actos de autoridad, y lógico es que siempre que se plantee en un juicio de garantías, deban analizarse dichos actos en cuanto a su contenido y alcance jurídico, para estar en posibilidad de determinar si los reclamados son o no consecuencia de los que se estiman consentidos. De lo contrario, nunca operaría la referida causal de improcedencia.</w:t>
      </w:r>
    </w:p>
    <w:p w:rsidR="00AD5BC9" w:rsidRPr="00EC4E54" w:rsidRDefault="00AD5BC9" w:rsidP="00636D92">
      <w:pPr>
        <w:spacing w:after="0" w:line="240" w:lineRule="auto"/>
        <w:jc w:val="both"/>
        <w:rPr>
          <w:rFonts w:ascii="Arial Narrow" w:eastAsia="Times New Roman" w:hAnsi="Arial Narrow" w:cs="Times New Roman"/>
          <w:b/>
          <w:i/>
          <w:lang w:eastAsia="es-ES"/>
        </w:rPr>
      </w:pPr>
      <w:r w:rsidRPr="00EC4E54">
        <w:rPr>
          <w:rFonts w:ascii="Arial Narrow" w:eastAsia="Times New Roman" w:hAnsi="Arial Narrow" w:cs="Times New Roman"/>
          <w:b/>
          <w:i/>
          <w:lang w:eastAsia="es-ES"/>
        </w:rPr>
        <w:t>Amparo en revisión 4485/64. Puente de Reynosa, S. A. 2 de mayo de 1968. Unanimidad de cuatro votos. Ponente: Jorge Iñárritu.</w:t>
      </w:r>
    </w:p>
    <w:p w:rsidR="00AD5BC9" w:rsidRPr="00EC4E54" w:rsidRDefault="00AD5BC9" w:rsidP="00636D92">
      <w:pPr>
        <w:spacing w:after="0" w:line="240" w:lineRule="auto"/>
        <w:jc w:val="both"/>
        <w:rPr>
          <w:rFonts w:ascii="Arial Narrow" w:eastAsia="Times New Roman" w:hAnsi="Arial Narrow" w:cs="Times New Roman"/>
          <w:b/>
          <w:i/>
          <w:lang w:eastAsia="es-ES"/>
        </w:rPr>
      </w:pPr>
      <w:r w:rsidRPr="00EC4E54">
        <w:rPr>
          <w:rFonts w:ascii="Arial Narrow" w:eastAsia="Times New Roman" w:hAnsi="Arial Narrow" w:cs="Times New Roman"/>
          <w:b/>
          <w:i/>
          <w:lang w:eastAsia="es-ES"/>
        </w:rPr>
        <w:t>Véase: Apéndice al Semanario Judicial de la Federación 1917-1965, Tomo VI, Materia Común, página 43, tesis número 15 y página 44, tesis número 16, ambas de rubro "ACTOS DERIVADOS DE ACTOS CONSENTIDOS.".”</w:t>
      </w:r>
    </w:p>
    <w:p w:rsidR="00AD5BC9" w:rsidRPr="00EB2542" w:rsidRDefault="00AD5BC9" w:rsidP="00AD5BC9">
      <w:pPr>
        <w:spacing w:after="0" w:line="240" w:lineRule="auto"/>
        <w:ind w:firstLine="708"/>
        <w:jc w:val="both"/>
        <w:rPr>
          <w:rFonts w:ascii="Arial Narrow" w:eastAsia="Times New Roman" w:hAnsi="Arial Narrow" w:cs="Times New Roman"/>
          <w:i/>
          <w:sz w:val="28"/>
          <w:szCs w:val="28"/>
          <w:lang w:eastAsia="es-ES"/>
        </w:rPr>
      </w:pPr>
    </w:p>
    <w:p w:rsidR="00AD5BC9" w:rsidRPr="00EC4E54" w:rsidRDefault="00AD5BC9" w:rsidP="00EC4E54">
      <w:pPr>
        <w:spacing w:after="0" w:line="360" w:lineRule="auto"/>
        <w:ind w:firstLine="709"/>
        <w:jc w:val="both"/>
        <w:rPr>
          <w:rFonts w:ascii="Arial" w:eastAsia="Times New Roman" w:hAnsi="Arial" w:cs="Arial"/>
          <w:sz w:val="24"/>
          <w:szCs w:val="24"/>
          <w:lang w:eastAsia="es-ES"/>
        </w:rPr>
      </w:pPr>
      <w:r w:rsidRPr="00EC4E54">
        <w:rPr>
          <w:rFonts w:ascii="Arial" w:eastAsia="Times New Roman" w:hAnsi="Arial" w:cs="Arial"/>
          <w:sz w:val="24"/>
          <w:szCs w:val="24"/>
          <w:lang w:eastAsia="es-ES"/>
        </w:rPr>
        <w:t>Y por analogía, la tesis aislada en materia civil, localizable en la Novena Epoca del Semanario Judicial de la Federación y su Gaceta, Tomo XI, Marzo de 2000, Tribunales Colegiados de Circuito, Tesis: IV.1º.P.C.12 C, Página 962, que dice:</w:t>
      </w:r>
    </w:p>
    <w:p w:rsidR="00AD5BC9" w:rsidRDefault="00AD5BC9" w:rsidP="00AD5BC9">
      <w:pPr>
        <w:spacing w:after="0" w:line="240" w:lineRule="auto"/>
        <w:ind w:firstLine="708"/>
        <w:jc w:val="both"/>
        <w:rPr>
          <w:rFonts w:ascii="Arial Narrow" w:eastAsia="Times New Roman" w:hAnsi="Arial Narrow" w:cs="Times New Roman"/>
          <w:sz w:val="28"/>
          <w:szCs w:val="28"/>
          <w:lang w:eastAsia="es-ES"/>
        </w:rPr>
      </w:pPr>
    </w:p>
    <w:p w:rsidR="00AD5BC9" w:rsidRPr="00EC4E54" w:rsidRDefault="00AD5BC9" w:rsidP="00AD5BC9">
      <w:pPr>
        <w:spacing w:after="0" w:line="240" w:lineRule="auto"/>
        <w:ind w:firstLine="708"/>
        <w:jc w:val="both"/>
        <w:rPr>
          <w:rFonts w:ascii="Arial Narrow" w:eastAsia="Times New Roman" w:hAnsi="Arial Narrow" w:cs="Times New Roman"/>
          <w:b/>
          <w:i/>
          <w:lang w:eastAsia="es-ES"/>
        </w:rPr>
      </w:pPr>
      <w:r w:rsidRPr="00EC4E54">
        <w:rPr>
          <w:rFonts w:ascii="Arial Narrow" w:eastAsia="Times New Roman" w:hAnsi="Arial Narrow" w:cs="Times New Roman"/>
          <w:b/>
          <w:i/>
          <w:lang w:eastAsia="es-ES"/>
        </w:rPr>
        <w:t xml:space="preserve">“ACTOS DERIVADOS DE OTROS CONSENTIDOS. NO SE DESVIRTÚA ESTA CAUSAL DE IMPROCEDENCIA POR LA PROMOCIÓN DE UN JUICIO AUTÓNOMO DE NULIDAD.- Si el quejoso no interpuso el recurso ordinario correspondiente, o en su caso el juicio de garantías contra el acto antecedente del reclamado, y tampoco impugna éste por vicios propios, sino que su inconstitucionalidad la hace depender de la del acto del que deriva, debe concluirse que el amparo es improcedente, sin que obste que el agraviado presentase una demanda ordinaria civil sobre nulidad del primer acto, porque un juicio autónomo, de vida propia e independiente de aquel en que se emitió el acto reclamado, no puede conceptuarse como un recurso o medio ordinario de defensa ni impide, en consecuencia, estimar que en el proceso del que emana ese acto, operó la preclusión en relación con todas aquellas determinaciones que no fueron combatidas; siendo de notarse que si de acuerdo con el artículo 73, fracción XIII, de la Ley de Amparo, es improcedente el juicio de garantías contra resoluciones judiciales respecto de las cuales conceda la ley algún recurso o medio de defensa, dentro del procedimiento, por virtud del cual puedan ser revocadas, modificadas o nulificadas, aun cuando el agraviado no lo hubiese hecho valer oportunamente, la lógica de este sistema lleva a considerar que, para los efectos del juicio constitucional, necesariamente se reputan consentidos aquellos actos que en el procedimiento mismo en el que hayan tenido lugar, no fueron oportunamente atacados, o contra los cuales no se pidió amparo en el plazo legal, independientemente de que el interesado </w:t>
      </w:r>
      <w:r w:rsidRPr="00EC4E54">
        <w:rPr>
          <w:rFonts w:ascii="Arial Narrow" w:eastAsia="Times New Roman" w:hAnsi="Arial Narrow" w:cs="Times New Roman"/>
          <w:b/>
          <w:i/>
          <w:lang w:eastAsia="es-ES"/>
        </w:rPr>
        <w:lastRenderedPageBreak/>
        <w:t xml:space="preserve">intente un juicio autónomo para </w:t>
      </w:r>
      <w:proofErr w:type="spellStart"/>
      <w:r w:rsidRPr="00EC4E54">
        <w:rPr>
          <w:rFonts w:ascii="Arial Narrow" w:eastAsia="Times New Roman" w:hAnsi="Arial Narrow" w:cs="Times New Roman"/>
          <w:b/>
          <w:i/>
          <w:lang w:eastAsia="es-ES"/>
        </w:rPr>
        <w:t>nulificarlos</w:t>
      </w:r>
      <w:proofErr w:type="spellEnd"/>
      <w:r w:rsidRPr="00EC4E54">
        <w:rPr>
          <w:rFonts w:ascii="Arial Narrow" w:eastAsia="Times New Roman" w:hAnsi="Arial Narrow" w:cs="Times New Roman"/>
          <w:b/>
          <w:i/>
          <w:lang w:eastAsia="es-ES"/>
        </w:rPr>
        <w:t>, pues así como la promoción de este juicio no podría cambiar el carácter definitivo del acto, para estimar procedente el amparo hasta que concluyese, tampoco puede tener por efecto interrumpir el término para presentar la demanda de garantías y, por lo mismo, no desaparece el consentimiento que existe por su no interposición.</w:t>
      </w:r>
    </w:p>
    <w:p w:rsidR="00AD5BC9" w:rsidRPr="00EC4E54" w:rsidRDefault="00AD5BC9" w:rsidP="00AD5BC9">
      <w:pPr>
        <w:spacing w:after="0" w:line="240" w:lineRule="auto"/>
        <w:jc w:val="both"/>
        <w:rPr>
          <w:rFonts w:ascii="Arial Narrow" w:eastAsia="Times New Roman" w:hAnsi="Arial Narrow" w:cs="Times New Roman"/>
          <w:b/>
          <w:i/>
          <w:lang w:eastAsia="es-ES"/>
        </w:rPr>
      </w:pPr>
      <w:r w:rsidRPr="00EC4E54">
        <w:rPr>
          <w:rFonts w:ascii="Arial Narrow" w:eastAsia="Times New Roman" w:hAnsi="Arial Narrow" w:cs="Times New Roman"/>
          <w:b/>
          <w:i/>
          <w:lang w:eastAsia="es-ES"/>
        </w:rPr>
        <w:t>PRIMER TRIBUNAL COLEGIADO EN MATERIAS PENAL Y CIVIL DEL CUARTO CIRCUITO.</w:t>
      </w:r>
    </w:p>
    <w:p w:rsidR="00AD5BC9" w:rsidRPr="00EC4E54" w:rsidRDefault="00AD5BC9" w:rsidP="002C5431">
      <w:pPr>
        <w:spacing w:after="0" w:line="240" w:lineRule="auto"/>
        <w:jc w:val="both"/>
        <w:rPr>
          <w:rFonts w:ascii="Arial Narrow" w:eastAsia="Times New Roman" w:hAnsi="Arial Narrow" w:cs="Times New Roman"/>
          <w:b/>
          <w:i/>
          <w:lang w:eastAsia="es-ES"/>
        </w:rPr>
      </w:pPr>
      <w:r w:rsidRPr="00EC4E54">
        <w:rPr>
          <w:rFonts w:ascii="Arial Narrow" w:eastAsia="Times New Roman" w:hAnsi="Arial Narrow" w:cs="Times New Roman"/>
          <w:b/>
          <w:i/>
          <w:lang w:eastAsia="es-ES"/>
        </w:rPr>
        <w:t xml:space="preserve">Amparo en revisión 601/99. Sucesión a bienes de </w:t>
      </w:r>
      <w:proofErr w:type="spellStart"/>
      <w:r w:rsidRPr="00EC4E54">
        <w:rPr>
          <w:rFonts w:ascii="Arial Narrow" w:eastAsia="Times New Roman" w:hAnsi="Arial Narrow" w:cs="Times New Roman"/>
          <w:b/>
          <w:i/>
          <w:lang w:eastAsia="es-ES"/>
        </w:rPr>
        <w:t>Delfa</w:t>
      </w:r>
      <w:proofErr w:type="spellEnd"/>
      <w:r w:rsidRPr="00EC4E54">
        <w:rPr>
          <w:rFonts w:ascii="Arial Narrow" w:eastAsia="Times New Roman" w:hAnsi="Arial Narrow" w:cs="Times New Roman"/>
          <w:b/>
          <w:i/>
          <w:lang w:eastAsia="es-ES"/>
        </w:rPr>
        <w:t xml:space="preserve"> Zambrano Garza y </w:t>
      </w:r>
      <w:proofErr w:type="spellStart"/>
      <w:r w:rsidRPr="00EC4E54">
        <w:rPr>
          <w:rFonts w:ascii="Arial Narrow" w:eastAsia="Times New Roman" w:hAnsi="Arial Narrow" w:cs="Times New Roman"/>
          <w:b/>
          <w:i/>
          <w:lang w:eastAsia="es-ES"/>
        </w:rPr>
        <w:t>coag</w:t>
      </w:r>
      <w:proofErr w:type="spellEnd"/>
      <w:r w:rsidRPr="00EC4E54">
        <w:rPr>
          <w:rFonts w:ascii="Arial Narrow" w:eastAsia="Times New Roman" w:hAnsi="Arial Narrow" w:cs="Times New Roman"/>
          <w:b/>
          <w:i/>
          <w:lang w:eastAsia="es-ES"/>
        </w:rPr>
        <w:t>. 5 de enero de 2000. Unanimidad de votos. Ponente: Abraham S. Marcos Valdés. Secretaria: María Luisa Guerrero López.”</w:t>
      </w:r>
    </w:p>
    <w:p w:rsidR="00EC4E54" w:rsidRPr="00EB2542" w:rsidRDefault="00EC4E54" w:rsidP="00AD7D7A">
      <w:pPr>
        <w:spacing w:after="0" w:line="360" w:lineRule="auto"/>
        <w:ind w:firstLine="708"/>
        <w:jc w:val="both"/>
        <w:rPr>
          <w:rFonts w:ascii="Arial" w:eastAsia="Calibri" w:hAnsi="Arial" w:cs="Arial"/>
          <w:i/>
          <w:sz w:val="28"/>
          <w:szCs w:val="28"/>
          <w:lang w:val="es-MX"/>
        </w:rPr>
      </w:pPr>
    </w:p>
    <w:p w:rsidR="00F15452" w:rsidRDefault="00F15452" w:rsidP="00F15452">
      <w:pPr>
        <w:spacing w:line="360" w:lineRule="auto"/>
        <w:ind w:firstLine="709"/>
        <w:jc w:val="both"/>
        <w:rPr>
          <w:rFonts w:ascii="Arial" w:eastAsia="Calibri" w:hAnsi="Arial" w:cs="Arial"/>
          <w:sz w:val="24"/>
          <w:szCs w:val="24"/>
          <w:lang w:val="es-MX"/>
        </w:rPr>
      </w:pPr>
      <w:r w:rsidRPr="00F15452">
        <w:rPr>
          <w:rFonts w:ascii="Arial" w:eastAsia="Calibri" w:hAnsi="Arial" w:cs="Arial"/>
          <w:sz w:val="24"/>
          <w:szCs w:val="24"/>
          <w:lang w:val="es-MX"/>
        </w:rPr>
        <w:t xml:space="preserve">Por lo expuesto, fundado y con apoyo en </w:t>
      </w:r>
      <w:r w:rsidRPr="00F15452">
        <w:rPr>
          <w:rFonts w:ascii="Arial" w:eastAsia="Times New Roman" w:hAnsi="Arial" w:cs="Arial"/>
          <w:sz w:val="24"/>
          <w:szCs w:val="24"/>
          <w:lang w:val="es-MX" w:eastAsia="es-ES"/>
        </w:rPr>
        <w:t xml:space="preserve">los artículos, 123 de la Constitución Política del Estado de San Luis Potosí; 1º, 2º, 7º fracción I, 9º fracción III, 24, 35 fracción VIII, y Quinto Transitorio de la Ley Orgánica del Tribunal Estatal de Justicia Administrativa de San Luis Potosí; fracción </w:t>
      </w:r>
      <w:r w:rsidRPr="00F15452">
        <w:rPr>
          <w:rFonts w:ascii="Arial" w:eastAsia="Calibri" w:hAnsi="Arial" w:cs="Arial"/>
          <w:color w:val="000000"/>
          <w:sz w:val="24"/>
          <w:szCs w:val="24"/>
          <w:lang w:val="es-MX"/>
        </w:rPr>
        <w:t>VI del artículo 228, en relación con la fracción II del artículo 229 y  24 fracción I, inciso c),</w:t>
      </w:r>
      <w:r w:rsidRPr="00F15452">
        <w:rPr>
          <w:rFonts w:ascii="Arial" w:eastAsia="Times New Roman" w:hAnsi="Arial" w:cs="Arial"/>
          <w:sz w:val="24"/>
          <w:szCs w:val="24"/>
          <w:lang w:val="es-MX" w:eastAsia="es-ES"/>
        </w:rPr>
        <w:t xml:space="preserve"> 248 y 249 del Código Procesal Administrativo para el Estado de San Luis Potosí; </w:t>
      </w:r>
      <w:r w:rsidRPr="00F15452">
        <w:rPr>
          <w:rFonts w:ascii="Arial" w:eastAsia="Calibri" w:hAnsi="Arial" w:cs="Arial"/>
          <w:sz w:val="24"/>
          <w:szCs w:val="24"/>
          <w:lang w:val="es-MX"/>
        </w:rPr>
        <w:t>es de resolverse y se,</w:t>
      </w:r>
    </w:p>
    <w:p w:rsidR="00AD7D7A" w:rsidRDefault="00AD7D7A" w:rsidP="00AD7D7A">
      <w:pPr>
        <w:spacing w:after="0" w:line="360" w:lineRule="auto"/>
        <w:jc w:val="center"/>
        <w:rPr>
          <w:rFonts w:ascii="Arial" w:eastAsia="Calibri" w:hAnsi="Arial" w:cs="Arial"/>
          <w:b/>
          <w:sz w:val="24"/>
          <w:szCs w:val="24"/>
          <w:lang w:val="es-MX"/>
        </w:rPr>
      </w:pPr>
      <w:r w:rsidRPr="00AD7D7A">
        <w:rPr>
          <w:rFonts w:ascii="Arial" w:eastAsia="Calibri" w:hAnsi="Arial" w:cs="Arial"/>
          <w:b/>
          <w:sz w:val="24"/>
          <w:szCs w:val="24"/>
          <w:lang w:val="es-MX"/>
        </w:rPr>
        <w:t>R  E  S  U  E  L  V  E</w:t>
      </w:r>
    </w:p>
    <w:p w:rsidR="00EB2542" w:rsidRPr="00AD7D7A" w:rsidRDefault="00EB2542" w:rsidP="00AD7D7A">
      <w:pPr>
        <w:spacing w:after="0" w:line="360" w:lineRule="auto"/>
        <w:jc w:val="center"/>
        <w:rPr>
          <w:rFonts w:ascii="Arial" w:eastAsia="Calibri" w:hAnsi="Arial" w:cs="Arial"/>
          <w:b/>
          <w:sz w:val="24"/>
          <w:szCs w:val="24"/>
          <w:lang w:val="es-MX"/>
        </w:rPr>
      </w:pPr>
    </w:p>
    <w:p w:rsidR="00AD7D7A" w:rsidRPr="00000559" w:rsidRDefault="00AD7D7A" w:rsidP="00AD7D7A">
      <w:pPr>
        <w:spacing w:after="0" w:line="360" w:lineRule="auto"/>
        <w:jc w:val="center"/>
        <w:rPr>
          <w:rFonts w:ascii="Arial" w:eastAsia="Calibri" w:hAnsi="Arial" w:cs="Arial"/>
          <w:b/>
          <w:sz w:val="16"/>
          <w:szCs w:val="16"/>
          <w:lang w:val="es-MX"/>
        </w:rPr>
      </w:pPr>
    </w:p>
    <w:p w:rsidR="00AD7D7A" w:rsidRPr="00AD7D7A" w:rsidRDefault="00AD7D7A" w:rsidP="00AD7D7A">
      <w:pPr>
        <w:spacing w:after="0" w:line="360" w:lineRule="auto"/>
        <w:ind w:firstLine="709"/>
        <w:jc w:val="both"/>
        <w:rPr>
          <w:rFonts w:ascii="Arial" w:eastAsia="Calibri" w:hAnsi="Arial" w:cs="Arial"/>
          <w:sz w:val="24"/>
          <w:szCs w:val="24"/>
          <w:lang w:val="es-MX"/>
        </w:rPr>
      </w:pPr>
      <w:r w:rsidRPr="00AD7D7A">
        <w:rPr>
          <w:rFonts w:ascii="Arial" w:eastAsia="Calibri" w:hAnsi="Arial" w:cs="Arial"/>
          <w:b/>
          <w:sz w:val="24"/>
          <w:szCs w:val="24"/>
          <w:lang w:val="es-MX"/>
        </w:rPr>
        <w:t>PRIMERO.-</w:t>
      </w:r>
      <w:r w:rsidRPr="00AD7D7A">
        <w:rPr>
          <w:rFonts w:ascii="Arial" w:eastAsia="Calibri" w:hAnsi="Arial" w:cs="Arial"/>
          <w:sz w:val="24"/>
          <w:szCs w:val="24"/>
          <w:lang w:val="es-MX"/>
        </w:rPr>
        <w:t xml:space="preserve"> Esta </w:t>
      </w:r>
      <w:r w:rsidRPr="00AD7D7A">
        <w:rPr>
          <w:rFonts w:ascii="Arial" w:eastAsia="Calibri" w:hAnsi="Arial" w:cs="Arial"/>
          <w:b/>
          <w:sz w:val="24"/>
          <w:szCs w:val="24"/>
          <w:lang w:val="es-MX"/>
        </w:rPr>
        <w:t>Tercera Sala Unitaria del Tribunal Estatal de Justicia Administrativa</w:t>
      </w:r>
      <w:r w:rsidRPr="00AD7D7A">
        <w:rPr>
          <w:rFonts w:ascii="Arial" w:eastAsia="Calibri" w:hAnsi="Arial" w:cs="Arial"/>
          <w:sz w:val="24"/>
          <w:szCs w:val="24"/>
          <w:lang w:val="es-MX"/>
        </w:rPr>
        <w:t>, resultó competente para conocer y resolver el presente juicio.</w:t>
      </w:r>
    </w:p>
    <w:p w:rsidR="00AD7D7A" w:rsidRPr="00EB2542" w:rsidRDefault="00AD7D7A" w:rsidP="00AD7D7A">
      <w:pPr>
        <w:spacing w:after="0" w:line="360" w:lineRule="auto"/>
        <w:ind w:firstLine="709"/>
        <w:jc w:val="both"/>
        <w:rPr>
          <w:rFonts w:ascii="Arial" w:eastAsia="Calibri" w:hAnsi="Arial" w:cs="Arial"/>
          <w:b/>
          <w:sz w:val="28"/>
          <w:szCs w:val="28"/>
          <w:lang w:val="es-MX"/>
        </w:rPr>
      </w:pPr>
    </w:p>
    <w:p w:rsidR="00F15452" w:rsidRPr="00281327" w:rsidRDefault="00AD7D7A" w:rsidP="00F15452">
      <w:pPr>
        <w:spacing w:after="0" w:line="360" w:lineRule="auto"/>
        <w:ind w:firstLine="709"/>
        <w:jc w:val="both"/>
        <w:rPr>
          <w:rFonts w:ascii="Arial Narrow" w:eastAsia="Times New Roman" w:hAnsi="Arial Narrow" w:cs="Arial"/>
          <w:sz w:val="28"/>
          <w:szCs w:val="28"/>
          <w:lang w:eastAsia="es-ES"/>
        </w:rPr>
      </w:pPr>
      <w:r w:rsidRPr="00AD7D7A">
        <w:rPr>
          <w:rFonts w:ascii="Arial" w:eastAsia="Calibri" w:hAnsi="Arial" w:cs="Arial"/>
          <w:b/>
          <w:sz w:val="24"/>
          <w:szCs w:val="24"/>
          <w:lang w:val="es-MX"/>
        </w:rPr>
        <w:t>SEGUNDO</w:t>
      </w:r>
      <w:r w:rsidRPr="00AD7D7A">
        <w:rPr>
          <w:rFonts w:ascii="Arial" w:eastAsia="Calibri" w:hAnsi="Arial" w:cs="Arial"/>
          <w:sz w:val="24"/>
          <w:szCs w:val="24"/>
          <w:lang w:val="es-MX"/>
        </w:rPr>
        <w:t>.-</w:t>
      </w:r>
      <w:r w:rsidR="00F15452">
        <w:rPr>
          <w:rFonts w:ascii="Arial" w:eastAsia="Calibri" w:hAnsi="Arial" w:cs="Arial"/>
          <w:sz w:val="24"/>
          <w:szCs w:val="24"/>
          <w:lang w:val="es-MX"/>
        </w:rPr>
        <w:t xml:space="preserve"> Se declara el </w:t>
      </w:r>
      <w:r w:rsidR="00F15452" w:rsidRPr="00F15452">
        <w:rPr>
          <w:rFonts w:ascii="Arial" w:eastAsia="Calibri" w:hAnsi="Arial" w:cs="Arial"/>
          <w:b/>
          <w:sz w:val="24"/>
          <w:szCs w:val="24"/>
          <w:lang w:val="es-MX"/>
        </w:rPr>
        <w:t>SOBRESEIMIENTO</w:t>
      </w:r>
      <w:r w:rsidR="00F15452">
        <w:rPr>
          <w:rFonts w:ascii="Arial" w:eastAsia="Calibri" w:hAnsi="Arial" w:cs="Arial"/>
          <w:sz w:val="24"/>
          <w:szCs w:val="24"/>
          <w:lang w:val="es-MX"/>
        </w:rPr>
        <w:t xml:space="preserve"> del presente juicio, de conformidad con los razonamientos precisados en el considerando cuarto de la presente sentencia.</w:t>
      </w:r>
    </w:p>
    <w:p w:rsidR="00AD7D7A" w:rsidRPr="00EB2542" w:rsidRDefault="00AD7D7A" w:rsidP="00F15452">
      <w:pPr>
        <w:autoSpaceDE w:val="0"/>
        <w:autoSpaceDN w:val="0"/>
        <w:adjustRightInd w:val="0"/>
        <w:spacing w:after="0" w:line="360" w:lineRule="auto"/>
        <w:ind w:firstLine="709"/>
        <w:jc w:val="both"/>
        <w:rPr>
          <w:rFonts w:ascii="Arial" w:eastAsia="Calibri" w:hAnsi="Arial" w:cs="Arial"/>
          <w:bCs/>
          <w:color w:val="000000"/>
          <w:sz w:val="28"/>
          <w:szCs w:val="28"/>
          <w:lang w:val="es-MX"/>
        </w:rPr>
      </w:pPr>
    </w:p>
    <w:p w:rsidR="00AD7D7A" w:rsidRPr="00AD7D7A" w:rsidRDefault="00AD7D7A" w:rsidP="00AD7D7A">
      <w:pPr>
        <w:spacing w:after="0" w:line="360" w:lineRule="auto"/>
        <w:ind w:firstLine="709"/>
        <w:jc w:val="both"/>
        <w:rPr>
          <w:rFonts w:ascii="Arial" w:eastAsia="Calibri" w:hAnsi="Arial" w:cs="Arial"/>
          <w:sz w:val="24"/>
          <w:szCs w:val="24"/>
          <w:lang w:val="es-MX"/>
        </w:rPr>
      </w:pPr>
      <w:r w:rsidRPr="00AD7D7A">
        <w:rPr>
          <w:rFonts w:ascii="Arial" w:eastAsia="Calibri" w:hAnsi="Arial" w:cs="Arial"/>
          <w:b/>
          <w:sz w:val="24"/>
          <w:szCs w:val="24"/>
          <w:lang w:val="es-MX"/>
        </w:rPr>
        <w:t xml:space="preserve">TERCERO.- </w:t>
      </w:r>
      <w:r w:rsidRPr="00AD7D7A">
        <w:rPr>
          <w:rFonts w:ascii="Arial" w:eastAsia="Calibri" w:hAnsi="Arial" w:cs="Arial"/>
          <w:sz w:val="24"/>
          <w:szCs w:val="24"/>
          <w:lang w:val="es-MX"/>
        </w:rPr>
        <w:t>Notifíquese personalmente a la parte actora y por oficio a las autoridades demandadas</w:t>
      </w:r>
      <w:r w:rsidRPr="00AD7D7A">
        <w:rPr>
          <w:rFonts w:ascii="Arial" w:eastAsia="Times New Roman" w:hAnsi="Arial" w:cs="Arial"/>
          <w:color w:val="000000"/>
          <w:sz w:val="24"/>
          <w:szCs w:val="24"/>
          <w:lang w:val="es-MX" w:eastAsia="es-MX"/>
        </w:rPr>
        <w:t xml:space="preserve"> y terceros,</w:t>
      </w:r>
      <w:r w:rsidRPr="00AD7D7A">
        <w:rPr>
          <w:rFonts w:ascii="Arial" w:eastAsia="Calibri" w:hAnsi="Arial" w:cs="Arial"/>
          <w:sz w:val="24"/>
          <w:szCs w:val="24"/>
          <w:lang w:val="es-MX"/>
        </w:rPr>
        <w:t xml:space="preserve"> con copia autorizada de esta resolución.</w:t>
      </w:r>
    </w:p>
    <w:p w:rsidR="00AD7D7A" w:rsidRPr="00EB2542" w:rsidRDefault="00AD7D7A" w:rsidP="00AD7D7A">
      <w:pPr>
        <w:spacing w:after="0" w:line="360" w:lineRule="auto"/>
        <w:ind w:firstLine="709"/>
        <w:jc w:val="both"/>
        <w:rPr>
          <w:rFonts w:ascii="Arial" w:eastAsia="Calibri" w:hAnsi="Arial" w:cs="Arial"/>
          <w:sz w:val="28"/>
          <w:szCs w:val="28"/>
          <w:lang w:val="es-MX"/>
        </w:rPr>
      </w:pPr>
    </w:p>
    <w:p w:rsidR="00AD7D7A" w:rsidRPr="00AD7D7A" w:rsidRDefault="00AD7D7A" w:rsidP="00EC4E54">
      <w:pPr>
        <w:spacing w:after="0" w:line="360" w:lineRule="auto"/>
        <w:ind w:firstLine="709"/>
        <w:jc w:val="both"/>
      </w:pPr>
      <w:r w:rsidRPr="00AD7D7A">
        <w:rPr>
          <w:rFonts w:ascii="Arial" w:eastAsia="Calibri" w:hAnsi="Arial" w:cs="Arial"/>
          <w:sz w:val="24"/>
          <w:szCs w:val="24"/>
          <w:lang w:val="es-MX"/>
        </w:rPr>
        <w:t xml:space="preserve">Así lo resolvió y firma, el Magistrado Titular de la Tercera Sala Unitaria del Tribunal Estatal de Justicia Administrativa, </w:t>
      </w:r>
      <w:r w:rsidRPr="00AD7D7A">
        <w:rPr>
          <w:rFonts w:ascii="Arial" w:eastAsia="Calibri" w:hAnsi="Arial" w:cs="Arial"/>
          <w:b/>
          <w:sz w:val="24"/>
          <w:szCs w:val="24"/>
          <w:lang w:val="es-MX"/>
        </w:rPr>
        <w:t>Licenciado Diego Amaro González,</w:t>
      </w:r>
      <w:r w:rsidRPr="00AD7D7A">
        <w:rPr>
          <w:rFonts w:ascii="Arial" w:eastAsia="Calibri" w:hAnsi="Arial" w:cs="Arial"/>
          <w:sz w:val="24"/>
          <w:szCs w:val="24"/>
          <w:lang w:val="es-MX"/>
        </w:rPr>
        <w:t xml:space="preserve"> quien actúa con Secretario de Acuerdos, </w:t>
      </w:r>
      <w:r w:rsidRPr="00AD7D7A">
        <w:rPr>
          <w:rFonts w:ascii="Arial" w:eastAsia="Calibri" w:hAnsi="Arial" w:cs="Arial"/>
          <w:b/>
          <w:sz w:val="24"/>
          <w:szCs w:val="24"/>
          <w:lang w:val="es-MX"/>
        </w:rPr>
        <w:t>Licenciado Ismael Méndez Hernández,</w:t>
      </w:r>
      <w:r w:rsidR="00EC4E54">
        <w:rPr>
          <w:rFonts w:ascii="Arial" w:eastAsia="Calibri" w:hAnsi="Arial" w:cs="Arial"/>
          <w:sz w:val="24"/>
          <w:szCs w:val="24"/>
          <w:lang w:val="es-MX"/>
        </w:rPr>
        <w:t xml:space="preserve"> que autoriza y da fe.</w:t>
      </w:r>
      <w:r w:rsidR="0075367F" w:rsidRPr="0075367F">
        <w:rPr>
          <w:rFonts w:ascii="Arial" w:eastAsia="Calibri" w:hAnsi="Arial" w:cs="Arial"/>
          <w:sz w:val="24"/>
          <w:szCs w:val="24"/>
          <w:lang w:val="es-MX"/>
        </w:rPr>
        <w:t>-</w:t>
      </w:r>
    </w:p>
    <w:p w:rsidR="00944696" w:rsidRPr="006451A9" w:rsidRDefault="00944696" w:rsidP="00944696">
      <w:pPr>
        <w:jc w:val="both"/>
      </w:pPr>
      <w:r w:rsidRPr="006451A9">
        <w:rPr>
          <w:rFonts w:ascii="Arial" w:hAnsi="Arial" w:cs="Arial"/>
          <w:b/>
          <w:i/>
          <w:sz w:val="24"/>
          <w:szCs w:val="24"/>
        </w:rPr>
        <w:t xml:space="preserve">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84 fracción XLIII, 87 </w:t>
      </w:r>
      <w:r w:rsidRPr="006451A9">
        <w:rPr>
          <w:rFonts w:ascii="Arial" w:hAnsi="Arial" w:cs="Arial"/>
          <w:b/>
          <w:i/>
          <w:sz w:val="24"/>
          <w:szCs w:val="24"/>
        </w:rPr>
        <w:lastRenderedPageBreak/>
        <w:t>fracción III, 138 y noveno transitorio de la Ley de Transparencia y Acceso a la Información Pública del Estado de San Luis Potosí.</w:t>
      </w:r>
    </w:p>
    <w:p w:rsidR="002119DF" w:rsidRDefault="002119DF" w:rsidP="002119DF">
      <w:pPr>
        <w:rPr>
          <w:rFonts w:ascii="Arial Narrow" w:eastAsia="Calibri" w:hAnsi="Arial Narrow" w:cs="Times New Roman"/>
          <w:sz w:val="24"/>
          <w:szCs w:val="24"/>
        </w:rPr>
      </w:pPr>
      <w:bookmarkStart w:id="0" w:name="_GoBack"/>
      <w:bookmarkEnd w:id="0"/>
    </w:p>
    <w:sectPr w:rsidR="002119DF" w:rsidSect="00994F34">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642E" w:rsidRDefault="0094642E" w:rsidP="005A5928">
      <w:pPr>
        <w:spacing w:after="0" w:line="240" w:lineRule="auto"/>
      </w:pPr>
      <w:r>
        <w:separator/>
      </w:r>
    </w:p>
  </w:endnote>
  <w:endnote w:type="continuationSeparator" w:id="0">
    <w:p w:rsidR="0094642E" w:rsidRDefault="0094642E" w:rsidP="005A59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642E" w:rsidRDefault="0094642E" w:rsidP="005A5928">
      <w:pPr>
        <w:spacing w:after="0" w:line="240" w:lineRule="auto"/>
      </w:pPr>
      <w:r>
        <w:separator/>
      </w:r>
    </w:p>
  </w:footnote>
  <w:footnote w:type="continuationSeparator" w:id="0">
    <w:p w:rsidR="0094642E" w:rsidRDefault="0094642E" w:rsidP="005A592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74A7" w:rsidRDefault="00A474A7" w:rsidP="00C20F76">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A474A7" w:rsidRPr="006C0427" w:rsidRDefault="00A474A7" w:rsidP="00C20F76">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944696">
      <w:rPr>
        <w:rStyle w:val="Nmerodepgina"/>
        <w:noProof/>
        <w:color w:val="FFFFFF"/>
      </w:rPr>
      <w:t>13</w:t>
    </w:r>
    <w:r w:rsidRPr="006C0427">
      <w:rPr>
        <w:rStyle w:val="Nmerodepgina"/>
        <w:color w:val="FFFFFF"/>
      </w:rPr>
      <w:fldChar w:fldCharType="end"/>
    </w:r>
    <w:r w:rsidRPr="006C0427">
      <w:rPr>
        <w:rStyle w:val="Nmerodepgina"/>
        <w:color w:val="FFFFFF"/>
      </w:rPr>
      <w:t xml:space="preserve"> </w:t>
    </w:r>
  </w:p>
  <w:bookmarkEnd w:id="1"/>
  <w:p w:rsidR="00A474A7" w:rsidRPr="00364AFE" w:rsidRDefault="00A474A7" w:rsidP="00C20F76">
    <w:pPr>
      <w:pStyle w:val="Encabezad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944696">
      <w:rPr>
        <w:rFonts w:ascii="Arial Narrow" w:hAnsi="Arial Narrow"/>
        <w:noProof/>
      </w:rPr>
      <w:t>7</w:t>
    </w:r>
    <w:r w:rsidRPr="00364AFE">
      <w:rPr>
        <w:rFonts w:ascii="Arial Narrow" w:hAnsi="Arial Narrow"/>
      </w:rPr>
      <w:fldChar w:fldCharType="end"/>
    </w:r>
  </w:p>
  <w:p w:rsidR="00A474A7" w:rsidRPr="00364AFE" w:rsidRDefault="00A474A7" w:rsidP="00C20F76">
    <w:pPr>
      <w:pStyle w:val="Encabezado"/>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60288" behindDoc="0" locked="0" layoutInCell="1" allowOverlap="1" wp14:anchorId="2D934AF4" wp14:editId="06AF35A1">
              <wp:simplePos x="0" y="0"/>
              <wp:positionH relativeFrom="column">
                <wp:posOffset>-1543685</wp:posOffset>
              </wp:positionH>
              <wp:positionV relativeFrom="paragraph">
                <wp:posOffset>138430</wp:posOffset>
              </wp:positionV>
              <wp:extent cx="1125855" cy="1712595"/>
              <wp:effectExtent l="0" t="0" r="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474A7" w:rsidRDefault="00A474A7" w:rsidP="00C20F76">
                          <w:pPr>
                            <w:jc w:val="center"/>
                            <w:rPr>
                              <w:rFonts w:ascii="Microsoft Sans Serif" w:hAnsi="Microsoft Sans Serif" w:cs="Microsoft Sans Serif"/>
                              <w:b/>
                              <w:sz w:val="16"/>
                              <w:szCs w:val="16"/>
                            </w:rPr>
                          </w:pPr>
                          <w:r>
                            <w:rPr>
                              <w:rFonts w:cs="Calibri"/>
                              <w:noProof/>
                              <w:sz w:val="20"/>
                              <w:szCs w:val="20"/>
                              <w:lang w:val="es-MX" w:eastAsia="es-MX"/>
                            </w:rPr>
                            <w:drawing>
                              <wp:inline distT="0" distB="0" distL="0" distR="0" wp14:anchorId="3FD76088" wp14:editId="449F110E">
                                <wp:extent cx="943610" cy="943610"/>
                                <wp:effectExtent l="0" t="0" r="8890" b="889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rsidR="00A474A7" w:rsidRPr="00B23B9D" w:rsidRDefault="00A474A7"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A474A7" w:rsidRPr="00B23B9D" w:rsidRDefault="00A474A7"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A474A7" w:rsidRPr="00B23B9D" w:rsidRDefault="00A474A7"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A474A7" w:rsidRPr="00B23B9D" w:rsidRDefault="00A474A7" w:rsidP="00C20F76">
                          <w:pPr>
                            <w:pStyle w:val="Sinespaciado"/>
                            <w:jc w:val="center"/>
                            <w:rPr>
                              <w:rFonts w:ascii="Microsoft Sans Serif" w:eastAsia="SimHei" w:hAnsi="Microsoft Sans Serif" w:cs="Microsoft Sans Serif"/>
                              <w:b/>
                              <w:sz w:val="14"/>
                              <w:szCs w:val="14"/>
                            </w:rPr>
                          </w:pPr>
                        </w:p>
                        <w:p w:rsidR="00A474A7" w:rsidRPr="00B23B9D" w:rsidRDefault="00A474A7" w:rsidP="00C20F76">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left:0;text-align:left;margin-left:-121.55pt;margin-top:10.9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" stroked="f">
              <v:textbox>
                <w:txbxContent>
                  <w:p w:rsidR="00A474A7" w:rsidRDefault="00A474A7" w:rsidP="00C20F76">
                    <w:pPr>
                      <w:jc w:val="center"/>
                      <w:rPr>
                        <w:rFonts w:ascii="Microsoft Sans Serif" w:hAnsi="Microsoft Sans Serif" w:cs="Microsoft Sans Serif"/>
                        <w:b/>
                        <w:sz w:val="16"/>
                        <w:szCs w:val="16"/>
                      </w:rPr>
                    </w:pPr>
                    <w:r>
                      <w:rPr>
                        <w:rFonts w:cs="Calibri"/>
                        <w:noProof/>
                        <w:sz w:val="20"/>
                        <w:szCs w:val="20"/>
                        <w:lang w:val="es-MX" w:eastAsia="es-MX"/>
                      </w:rPr>
                      <w:drawing>
                        <wp:inline distT="0" distB="0" distL="0" distR="0" wp14:anchorId="3FD76088" wp14:editId="449F110E">
                          <wp:extent cx="943610" cy="943610"/>
                          <wp:effectExtent l="0" t="0" r="8890" b="889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rsidR="00A474A7" w:rsidRPr="00B23B9D" w:rsidRDefault="00A474A7"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A474A7" w:rsidRPr="00B23B9D" w:rsidRDefault="00A474A7"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A474A7" w:rsidRPr="00B23B9D" w:rsidRDefault="00A474A7"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A474A7" w:rsidRPr="00B23B9D" w:rsidRDefault="00A474A7" w:rsidP="00C20F76">
                    <w:pPr>
                      <w:pStyle w:val="Sinespaciado"/>
                      <w:jc w:val="center"/>
                      <w:rPr>
                        <w:rFonts w:ascii="Microsoft Sans Serif" w:eastAsia="SimHei" w:hAnsi="Microsoft Sans Serif" w:cs="Microsoft Sans Serif"/>
                        <w:b/>
                        <w:sz w:val="14"/>
                        <w:szCs w:val="14"/>
                      </w:rPr>
                    </w:pPr>
                  </w:p>
                  <w:p w:rsidR="00A474A7" w:rsidRPr="00B23B9D" w:rsidRDefault="00A474A7" w:rsidP="00C20F76">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r>
      <w:rPr>
        <w:rFonts w:ascii="Arial Narrow" w:hAnsi="Arial Narrow"/>
      </w:rPr>
      <w:t>EXP.</w:t>
    </w:r>
    <w:r w:rsidRPr="00364AFE">
      <w:rPr>
        <w:rFonts w:ascii="Arial Narrow" w:hAnsi="Arial Narrow"/>
      </w:rPr>
      <w:t xml:space="preserve"> </w:t>
    </w:r>
    <w:r>
      <w:rPr>
        <w:rFonts w:ascii="Arial Narrow" w:hAnsi="Arial Narrow"/>
      </w:rPr>
      <w:t>235/2018-3</w:t>
    </w:r>
    <w:r w:rsidRPr="00364AFE">
      <w:rPr>
        <w:rFonts w:ascii="Arial Narrow" w:hAnsi="Arial Narrow"/>
      </w:rPr>
      <w:t xml:space="preserve"> </w:t>
    </w:r>
  </w:p>
  <w:p w:rsidR="00A474A7" w:rsidRPr="00E47A61" w:rsidRDefault="00A474A7" w:rsidP="00C20F76">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74A7" w:rsidRPr="004A456E" w:rsidRDefault="00A474A7" w:rsidP="00C20F76">
    <w:pPr>
      <w:pStyle w:val="Encabezado"/>
      <w:tabs>
        <w:tab w:val="left" w:pos="1503"/>
      </w:tabs>
    </w:pPr>
    <w:r>
      <w:rPr>
        <w:noProof/>
        <w:lang w:eastAsia="es-MX"/>
      </w:rPr>
      <mc:AlternateContent>
        <mc:Choice Requires="wps">
          <w:drawing>
            <wp:anchor distT="0" distB="0" distL="114300" distR="114300" simplePos="0" relativeHeight="251659264" behindDoc="1" locked="0" layoutInCell="1" allowOverlap="1" wp14:anchorId="0AA923CE" wp14:editId="15CF3FCC">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474A7" w:rsidRDefault="00A474A7" w:rsidP="00C20F76">
                          <w:pPr>
                            <w:jc w:val="center"/>
                            <w:rPr>
                              <w:rFonts w:ascii="Microsoft Sans Serif" w:hAnsi="Microsoft Sans Serif" w:cs="Microsoft Sans Serif"/>
                              <w:b/>
                              <w:sz w:val="16"/>
                              <w:szCs w:val="16"/>
                            </w:rPr>
                          </w:pPr>
                          <w:r>
                            <w:rPr>
                              <w:rFonts w:cs="Calibri"/>
                              <w:noProof/>
                              <w:sz w:val="20"/>
                              <w:szCs w:val="20"/>
                              <w:lang w:val="es-MX" w:eastAsia="es-MX"/>
                            </w:rPr>
                            <w:drawing>
                              <wp:inline distT="0" distB="0" distL="0" distR="0" wp14:anchorId="7DA4FA8A" wp14:editId="3D2C69C8">
                                <wp:extent cx="1030605" cy="1030605"/>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0605" cy="1030605"/>
                                        </a:xfrm>
                                        <a:prstGeom prst="rect">
                                          <a:avLst/>
                                        </a:prstGeom>
                                        <a:solidFill>
                                          <a:srgbClr val="FFFFFF">
                                            <a:alpha val="0"/>
                                          </a:srgbClr>
                                        </a:solidFill>
                                        <a:ln>
                                          <a:noFill/>
                                        </a:ln>
                                      </pic:spPr>
                                    </pic:pic>
                                  </a:graphicData>
                                </a:graphic>
                              </wp:inline>
                            </w:drawing>
                          </w:r>
                        </w:p>
                        <w:p w:rsidR="00A474A7" w:rsidRPr="00B23B9D" w:rsidRDefault="00A474A7"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A474A7" w:rsidRPr="00B23B9D" w:rsidRDefault="00A474A7"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A474A7" w:rsidRPr="00B23B9D" w:rsidRDefault="00A474A7"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A474A7" w:rsidRPr="00B23B9D" w:rsidRDefault="00A474A7" w:rsidP="00C20F76">
                          <w:pPr>
                            <w:pStyle w:val="Sinespaciado"/>
                            <w:jc w:val="center"/>
                            <w:rPr>
                              <w:rFonts w:ascii="Microsoft Sans Serif" w:eastAsia="SimHei" w:hAnsi="Microsoft Sans Serif" w:cs="Microsoft Sans Serif"/>
                              <w:b/>
                              <w:sz w:val="14"/>
                              <w:szCs w:val="14"/>
                            </w:rPr>
                          </w:pPr>
                        </w:p>
                        <w:p w:rsidR="00A474A7" w:rsidRPr="00B23B9D" w:rsidRDefault="00A474A7" w:rsidP="00C20F76">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A474A7" w:rsidRDefault="00A474A7" w:rsidP="00C20F76">
                    <w:pPr>
                      <w:jc w:val="center"/>
                      <w:rPr>
                        <w:rFonts w:ascii="Microsoft Sans Serif" w:hAnsi="Microsoft Sans Serif" w:cs="Microsoft Sans Serif"/>
                        <w:b/>
                        <w:sz w:val="16"/>
                        <w:szCs w:val="16"/>
                      </w:rPr>
                    </w:pPr>
                    <w:r>
                      <w:rPr>
                        <w:rFonts w:cs="Calibri"/>
                        <w:noProof/>
                        <w:sz w:val="20"/>
                        <w:szCs w:val="20"/>
                        <w:lang w:val="es-MX" w:eastAsia="es-MX"/>
                      </w:rPr>
                      <w:drawing>
                        <wp:inline distT="0" distB="0" distL="0" distR="0" wp14:anchorId="7DA4FA8A" wp14:editId="3D2C69C8">
                          <wp:extent cx="1030605" cy="1030605"/>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0605" cy="1030605"/>
                                  </a:xfrm>
                                  <a:prstGeom prst="rect">
                                    <a:avLst/>
                                  </a:prstGeom>
                                  <a:solidFill>
                                    <a:srgbClr val="FFFFFF">
                                      <a:alpha val="0"/>
                                    </a:srgbClr>
                                  </a:solidFill>
                                  <a:ln>
                                    <a:noFill/>
                                  </a:ln>
                                </pic:spPr>
                              </pic:pic>
                            </a:graphicData>
                          </a:graphic>
                        </wp:inline>
                      </w:drawing>
                    </w:r>
                  </w:p>
                  <w:p w:rsidR="00A474A7" w:rsidRPr="00B23B9D" w:rsidRDefault="00A474A7"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A474A7" w:rsidRPr="00B23B9D" w:rsidRDefault="00A474A7"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A474A7" w:rsidRPr="00B23B9D" w:rsidRDefault="00A474A7"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A474A7" w:rsidRPr="00B23B9D" w:rsidRDefault="00A474A7" w:rsidP="00C20F76">
                    <w:pPr>
                      <w:pStyle w:val="Sinespaciado"/>
                      <w:jc w:val="center"/>
                      <w:rPr>
                        <w:rFonts w:ascii="Microsoft Sans Serif" w:eastAsia="SimHei" w:hAnsi="Microsoft Sans Serif" w:cs="Microsoft Sans Serif"/>
                        <w:b/>
                        <w:sz w:val="14"/>
                        <w:szCs w:val="14"/>
                      </w:rPr>
                    </w:pPr>
                  </w:p>
                  <w:p w:rsidR="00A474A7" w:rsidRPr="00B23B9D" w:rsidRDefault="00A474A7" w:rsidP="00C20F76">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7D7A"/>
    <w:rsid w:val="00000559"/>
    <w:rsid w:val="0001299B"/>
    <w:rsid w:val="00016255"/>
    <w:rsid w:val="00073958"/>
    <w:rsid w:val="000A3A07"/>
    <w:rsid w:val="000F0320"/>
    <w:rsid w:val="00114766"/>
    <w:rsid w:val="00115B74"/>
    <w:rsid w:val="001A02B5"/>
    <w:rsid w:val="001A049B"/>
    <w:rsid w:val="001A6CF6"/>
    <w:rsid w:val="001F4D17"/>
    <w:rsid w:val="001F544B"/>
    <w:rsid w:val="002119DF"/>
    <w:rsid w:val="00280B64"/>
    <w:rsid w:val="0028313A"/>
    <w:rsid w:val="00290D04"/>
    <w:rsid w:val="002C5431"/>
    <w:rsid w:val="00300CAB"/>
    <w:rsid w:val="0032188F"/>
    <w:rsid w:val="00330B13"/>
    <w:rsid w:val="00383655"/>
    <w:rsid w:val="00383D27"/>
    <w:rsid w:val="003C39C4"/>
    <w:rsid w:val="003E5074"/>
    <w:rsid w:val="0040547E"/>
    <w:rsid w:val="00444BB5"/>
    <w:rsid w:val="004900B6"/>
    <w:rsid w:val="0049492C"/>
    <w:rsid w:val="00552A80"/>
    <w:rsid w:val="00593C55"/>
    <w:rsid w:val="005A5928"/>
    <w:rsid w:val="005D2EC3"/>
    <w:rsid w:val="0061156F"/>
    <w:rsid w:val="0061569C"/>
    <w:rsid w:val="00636D92"/>
    <w:rsid w:val="00645FFC"/>
    <w:rsid w:val="007037B5"/>
    <w:rsid w:val="00735A57"/>
    <w:rsid w:val="00740B4F"/>
    <w:rsid w:val="0075367F"/>
    <w:rsid w:val="00765131"/>
    <w:rsid w:val="0079020D"/>
    <w:rsid w:val="007A01B7"/>
    <w:rsid w:val="007B19A7"/>
    <w:rsid w:val="007B6D89"/>
    <w:rsid w:val="007D5A8C"/>
    <w:rsid w:val="00837699"/>
    <w:rsid w:val="009434FF"/>
    <w:rsid w:val="00944696"/>
    <w:rsid w:val="0094642E"/>
    <w:rsid w:val="009612FE"/>
    <w:rsid w:val="00962194"/>
    <w:rsid w:val="0097739C"/>
    <w:rsid w:val="00994F34"/>
    <w:rsid w:val="009E2750"/>
    <w:rsid w:val="00A11B7E"/>
    <w:rsid w:val="00A474A7"/>
    <w:rsid w:val="00A84AC4"/>
    <w:rsid w:val="00AA407E"/>
    <w:rsid w:val="00AB1A4F"/>
    <w:rsid w:val="00AD5BC9"/>
    <w:rsid w:val="00AD7D7A"/>
    <w:rsid w:val="00B27B66"/>
    <w:rsid w:val="00B35EA7"/>
    <w:rsid w:val="00C20F76"/>
    <w:rsid w:val="00C30578"/>
    <w:rsid w:val="00CA1A1D"/>
    <w:rsid w:val="00CA40B5"/>
    <w:rsid w:val="00CB4BAD"/>
    <w:rsid w:val="00CC00FB"/>
    <w:rsid w:val="00CE2C6A"/>
    <w:rsid w:val="00D1478B"/>
    <w:rsid w:val="00D35F0B"/>
    <w:rsid w:val="00D73D6A"/>
    <w:rsid w:val="00D74529"/>
    <w:rsid w:val="00D762AA"/>
    <w:rsid w:val="00DF1E23"/>
    <w:rsid w:val="00E37E36"/>
    <w:rsid w:val="00EB2542"/>
    <w:rsid w:val="00EB2D8A"/>
    <w:rsid w:val="00EB5D2E"/>
    <w:rsid w:val="00EC4E54"/>
    <w:rsid w:val="00EE0FC9"/>
    <w:rsid w:val="00F0188B"/>
    <w:rsid w:val="00F05B8B"/>
    <w:rsid w:val="00F15452"/>
    <w:rsid w:val="00F40AE3"/>
    <w:rsid w:val="00F452A0"/>
    <w:rsid w:val="00F5342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AD7D7A"/>
    <w:pPr>
      <w:tabs>
        <w:tab w:val="center" w:pos="4252"/>
        <w:tab w:val="right" w:pos="8504"/>
      </w:tabs>
      <w:spacing w:after="0" w:line="240" w:lineRule="auto"/>
    </w:pPr>
    <w:rPr>
      <w:lang w:val="es-MX"/>
    </w:rPr>
  </w:style>
  <w:style w:type="character" w:customStyle="1" w:styleId="EncabezadoCar">
    <w:name w:val="Encabezado Car"/>
    <w:basedOn w:val="Fuentedeprrafopredeter"/>
    <w:link w:val="Encabezado"/>
    <w:uiPriority w:val="99"/>
    <w:semiHidden/>
    <w:rsid w:val="00AD7D7A"/>
    <w:rPr>
      <w:lang w:val="es-MX"/>
    </w:rPr>
  </w:style>
  <w:style w:type="character" w:styleId="Nmerodepgina">
    <w:name w:val="page number"/>
    <w:basedOn w:val="Fuentedeprrafopredeter"/>
    <w:rsid w:val="00AD7D7A"/>
  </w:style>
  <w:style w:type="paragraph" w:styleId="Sinespaciado">
    <w:name w:val="No Spacing"/>
    <w:link w:val="SinespaciadoCar"/>
    <w:uiPriority w:val="1"/>
    <w:qFormat/>
    <w:rsid w:val="00AD7D7A"/>
    <w:pPr>
      <w:spacing w:after="0" w:line="240" w:lineRule="auto"/>
    </w:pPr>
    <w:rPr>
      <w:rFonts w:ascii="Calibri" w:eastAsia="Calibri" w:hAnsi="Calibri" w:cs="Times New Roman"/>
      <w:lang w:val="es-MX"/>
    </w:rPr>
  </w:style>
  <w:style w:type="character" w:customStyle="1" w:styleId="SinespaciadoCar">
    <w:name w:val="Sin espaciado Car"/>
    <w:link w:val="Sinespaciado"/>
    <w:uiPriority w:val="1"/>
    <w:rsid w:val="00AD7D7A"/>
    <w:rPr>
      <w:rFonts w:ascii="Calibri" w:eastAsia="Calibri" w:hAnsi="Calibri" w:cs="Times New Roman"/>
      <w:lang w:val="es-MX"/>
    </w:rPr>
  </w:style>
  <w:style w:type="paragraph" w:styleId="Textodeglobo">
    <w:name w:val="Balloon Text"/>
    <w:basedOn w:val="Normal"/>
    <w:link w:val="TextodegloboCar"/>
    <w:uiPriority w:val="99"/>
    <w:semiHidden/>
    <w:unhideWhenUsed/>
    <w:rsid w:val="00AD7D7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D7D7A"/>
    <w:rPr>
      <w:rFonts w:ascii="Tahoma" w:hAnsi="Tahoma" w:cs="Tahoma"/>
      <w:sz w:val="16"/>
      <w:szCs w:val="16"/>
    </w:rPr>
  </w:style>
  <w:style w:type="paragraph" w:styleId="Piedepgina">
    <w:name w:val="footer"/>
    <w:basedOn w:val="Normal"/>
    <w:link w:val="PiedepginaCar"/>
    <w:uiPriority w:val="99"/>
    <w:unhideWhenUsed/>
    <w:rsid w:val="005A592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A5928"/>
  </w:style>
  <w:style w:type="paragraph" w:customStyle="1" w:styleId="Style1">
    <w:name w:val="Style 1"/>
    <w:basedOn w:val="Normal"/>
    <w:uiPriority w:val="99"/>
    <w:rsid w:val="002119DF"/>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AD7D7A"/>
    <w:pPr>
      <w:tabs>
        <w:tab w:val="center" w:pos="4252"/>
        <w:tab w:val="right" w:pos="8504"/>
      </w:tabs>
      <w:spacing w:after="0" w:line="240" w:lineRule="auto"/>
    </w:pPr>
    <w:rPr>
      <w:lang w:val="es-MX"/>
    </w:rPr>
  </w:style>
  <w:style w:type="character" w:customStyle="1" w:styleId="EncabezadoCar">
    <w:name w:val="Encabezado Car"/>
    <w:basedOn w:val="Fuentedeprrafopredeter"/>
    <w:link w:val="Encabezado"/>
    <w:uiPriority w:val="99"/>
    <w:semiHidden/>
    <w:rsid w:val="00AD7D7A"/>
    <w:rPr>
      <w:lang w:val="es-MX"/>
    </w:rPr>
  </w:style>
  <w:style w:type="character" w:styleId="Nmerodepgina">
    <w:name w:val="page number"/>
    <w:basedOn w:val="Fuentedeprrafopredeter"/>
    <w:rsid w:val="00AD7D7A"/>
  </w:style>
  <w:style w:type="paragraph" w:styleId="Sinespaciado">
    <w:name w:val="No Spacing"/>
    <w:link w:val="SinespaciadoCar"/>
    <w:uiPriority w:val="1"/>
    <w:qFormat/>
    <w:rsid w:val="00AD7D7A"/>
    <w:pPr>
      <w:spacing w:after="0" w:line="240" w:lineRule="auto"/>
    </w:pPr>
    <w:rPr>
      <w:rFonts w:ascii="Calibri" w:eastAsia="Calibri" w:hAnsi="Calibri" w:cs="Times New Roman"/>
      <w:lang w:val="es-MX"/>
    </w:rPr>
  </w:style>
  <w:style w:type="character" w:customStyle="1" w:styleId="SinespaciadoCar">
    <w:name w:val="Sin espaciado Car"/>
    <w:link w:val="Sinespaciado"/>
    <w:uiPriority w:val="1"/>
    <w:rsid w:val="00AD7D7A"/>
    <w:rPr>
      <w:rFonts w:ascii="Calibri" w:eastAsia="Calibri" w:hAnsi="Calibri" w:cs="Times New Roman"/>
      <w:lang w:val="es-MX"/>
    </w:rPr>
  </w:style>
  <w:style w:type="paragraph" w:styleId="Textodeglobo">
    <w:name w:val="Balloon Text"/>
    <w:basedOn w:val="Normal"/>
    <w:link w:val="TextodegloboCar"/>
    <w:uiPriority w:val="99"/>
    <w:semiHidden/>
    <w:unhideWhenUsed/>
    <w:rsid w:val="00AD7D7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D7D7A"/>
    <w:rPr>
      <w:rFonts w:ascii="Tahoma" w:hAnsi="Tahoma" w:cs="Tahoma"/>
      <w:sz w:val="16"/>
      <w:szCs w:val="16"/>
    </w:rPr>
  </w:style>
  <w:style w:type="paragraph" w:styleId="Piedepgina">
    <w:name w:val="footer"/>
    <w:basedOn w:val="Normal"/>
    <w:link w:val="PiedepginaCar"/>
    <w:uiPriority w:val="99"/>
    <w:unhideWhenUsed/>
    <w:rsid w:val="005A592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A5928"/>
  </w:style>
  <w:style w:type="paragraph" w:customStyle="1" w:styleId="Style1">
    <w:name w:val="Style 1"/>
    <w:basedOn w:val="Normal"/>
    <w:uiPriority w:val="99"/>
    <w:rsid w:val="002119DF"/>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FA5E54-630D-4165-9684-FABC387D65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538</TotalTime>
  <Pages>14</Pages>
  <Words>5786</Words>
  <Characters>31829</Characters>
  <Application>Microsoft Office Word</Application>
  <DocSecurity>0</DocSecurity>
  <Lines>265</Lines>
  <Paragraphs>75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37540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Luis Enrique</cp:lastModifiedBy>
  <cp:revision>94</cp:revision>
  <cp:lastPrinted>2019-01-21T20:43:00Z</cp:lastPrinted>
  <dcterms:created xsi:type="dcterms:W3CDTF">2019-01-18T18:21:00Z</dcterms:created>
  <dcterms:modified xsi:type="dcterms:W3CDTF">2019-02-12T01:29:00Z</dcterms:modified>
</cp:coreProperties>
</file>