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numPr>
          <w:ilvl w:val="0"/>
          <w:numId w:val="1"/>
        </w:numPr>
        <w:spacing w:line="360" w:lineRule="auto"/>
        <w:jc w:val="both"/>
        <w:rPr>
          <w:rFonts w:ascii="Arial" w:hAnsi="Arial"/>
          <w:lang w:val="es-ES_tradnl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 xml:space="preserve">Nombre del </w:t>
      </w:r>
      <w:r>
        <w:rPr>
          <w:rStyle w:val="Ninguno"/>
          <w:rFonts w:ascii="Arial" w:hAnsi="Arial"/>
          <w:b w:val="1"/>
          <w:bCs w:val="1"/>
          <w:rtl w:val="0"/>
          <w:lang w:val="it-IT"/>
        </w:rPr>
        <w:t>centro tur</w:t>
      </w:r>
      <w:r>
        <w:rPr>
          <w:rStyle w:val="Ninguno"/>
          <w:rFonts w:ascii="Arial" w:hAnsi="Arial" w:hint="default"/>
          <w:b w:val="1"/>
          <w:bCs w:val="1"/>
          <w:rtl w:val="0"/>
        </w:rPr>
        <w:t>í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stico y vacaciona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l:</w:t>
      </w:r>
      <w:r>
        <w:rPr>
          <w:rFonts w:ascii="Arial" w:hAnsi="Arial"/>
          <w:rtl w:val="0"/>
          <w:lang w:val="es-ES_tradnl"/>
        </w:rPr>
        <w:t xml:space="preserve"> Balneario splash</w:t>
      </w:r>
    </w:p>
    <w:p>
      <w:pPr>
        <w:pStyle w:val="Cuerpo"/>
        <w:numPr>
          <w:ilvl w:val="0"/>
          <w:numId w:val="1"/>
        </w:numPr>
        <w:spacing w:line="360" w:lineRule="auto"/>
        <w:jc w:val="both"/>
        <w:rPr>
          <w:rFonts w:ascii="Arial" w:hAnsi="Arial"/>
          <w:lang w:val="es-ES_tradnl"/>
        </w:rPr>
      </w:pPr>
      <w:r>
        <w:rPr>
          <w:rStyle w:val="Ninguno"/>
          <w:rFonts w:ascii="Arial" w:hAnsi="Arial"/>
          <w:b w:val="1"/>
          <w:bCs w:val="1"/>
          <w:rtl w:val="0"/>
          <w:lang w:val="es-ES_tradnl"/>
        </w:rPr>
        <w:t>S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ervicios que se ofrecen como atractivos tur</w:t>
      </w:r>
      <w:r>
        <w:rPr>
          <w:rStyle w:val="Ninguno"/>
          <w:rFonts w:ascii="Arial" w:hAnsi="Arial" w:hint="default"/>
          <w:b w:val="1"/>
          <w:bCs w:val="1"/>
          <w:rtl w:val="0"/>
        </w:rPr>
        <w:t>í</w:t>
      </w:r>
      <w:r>
        <w:rPr>
          <w:rStyle w:val="Ninguno"/>
          <w:rFonts w:ascii="Arial" w:hAnsi="Arial"/>
          <w:b w:val="1"/>
          <w:bCs w:val="1"/>
          <w:rtl w:val="0"/>
          <w:lang w:val="pt-PT"/>
        </w:rPr>
        <w:t>sticos</w:t>
      </w:r>
      <w:r>
        <w:rPr>
          <w:rStyle w:val="Ninguno"/>
          <w:rFonts w:ascii="Arial" w:hAnsi="Arial"/>
          <w:b w:val="1"/>
          <w:bCs w:val="1"/>
          <w:rtl w:val="0"/>
          <w:lang w:val="es-ES_tradnl"/>
        </w:rPr>
        <w:t>:</w:t>
      </w:r>
      <w:r>
        <w:rPr>
          <w:rFonts w:ascii="Arial" w:hAnsi="Arial"/>
          <w:rtl w:val="0"/>
          <w:lang w:val="es-ES_tradnl"/>
        </w:rPr>
        <w:t xml:space="preserve"> Albercas con toboganes, servicio de banquetes, jardines para fiestas, </w:t>
      </w:r>
      <w:r>
        <w:rPr>
          <w:rFonts w:ascii="Arial" w:hAnsi="Arial" w:hint="default"/>
          <w:rtl w:val="0"/>
          <w:lang w:val="es-ES_tradnl"/>
        </w:rPr>
        <w:t>á</w:t>
      </w:r>
      <w:r>
        <w:rPr>
          <w:rFonts w:ascii="Arial" w:hAnsi="Arial"/>
          <w:rtl w:val="0"/>
          <w:lang w:val="es-ES_tradnl"/>
        </w:rPr>
        <w:t>rea de campamento.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character" w:styleId="Ninguno">
    <w:name w:val="Ninguno"/>
    <w:rPr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