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EF489D2" w14:textId="75A5A47E" w:rsidR="00C8237C" w:rsidRPr="00264A5C" w:rsidRDefault="00C8237C" w:rsidP="00C8237C">
      <w:pPr>
        <w:tabs>
          <w:tab w:val="left" w:pos="932"/>
        </w:tabs>
        <w:spacing w:line="360" w:lineRule="auto"/>
        <w:ind w:firstLine="708"/>
        <w:jc w:val="both"/>
        <w:rPr>
          <w:rFonts w:ascii="Arial" w:hAnsi="Arial" w:cs="Arial"/>
        </w:rPr>
      </w:pPr>
      <w:bookmarkStart w:id="0" w:name="_GoBack"/>
    </w:p>
    <w:p w14:paraId="731F6C9F" w14:textId="77777777" w:rsidR="004554E6" w:rsidRPr="00264A5C" w:rsidRDefault="004554E6" w:rsidP="004554E6">
      <w:pPr>
        <w:tabs>
          <w:tab w:val="left" w:pos="6840"/>
        </w:tabs>
        <w:spacing w:line="360" w:lineRule="auto"/>
        <w:ind w:firstLine="708"/>
        <w:outlineLvl w:val="5"/>
        <w:rPr>
          <w:rFonts w:ascii="Arial" w:hAnsi="Arial" w:cs="Arial"/>
        </w:rPr>
      </w:pPr>
      <w:r w:rsidRPr="00264A5C">
        <w:rPr>
          <w:rFonts w:ascii="Arial" w:hAnsi="Arial" w:cs="Arial"/>
        </w:rPr>
        <w:t xml:space="preserve">San Luis Potosí, San Luis Potosí, 21 veintiuno de enero de 2019 dos mil diecinueve.    </w:t>
      </w:r>
    </w:p>
    <w:p w14:paraId="1797131D" w14:textId="77777777" w:rsidR="004554E6" w:rsidRPr="00264A5C" w:rsidRDefault="004554E6" w:rsidP="004554E6">
      <w:pPr>
        <w:tabs>
          <w:tab w:val="left" w:pos="6840"/>
        </w:tabs>
        <w:spacing w:line="360" w:lineRule="auto"/>
        <w:outlineLvl w:val="5"/>
        <w:rPr>
          <w:rFonts w:ascii="Arial" w:hAnsi="Arial" w:cs="Arial"/>
        </w:rPr>
      </w:pPr>
    </w:p>
    <w:p w14:paraId="19C5030C" w14:textId="77777777" w:rsidR="004554E6" w:rsidRPr="00264A5C" w:rsidRDefault="004554E6" w:rsidP="004554E6">
      <w:pPr>
        <w:spacing w:line="360" w:lineRule="auto"/>
        <w:ind w:firstLine="708"/>
        <w:jc w:val="both"/>
        <w:rPr>
          <w:rFonts w:ascii="Arial" w:hAnsi="Arial" w:cs="Arial"/>
        </w:rPr>
      </w:pPr>
      <w:r w:rsidRPr="00264A5C">
        <w:rPr>
          <w:rFonts w:ascii="Arial" w:hAnsi="Arial" w:cs="Arial"/>
        </w:rPr>
        <w:t>Visto el estado que guardan los presentes autos y de una revisión a las constancias que integran el expediente, con fundamento en los artículos 8; 10; 27, primer párrafo; 184 y 185 de la Ley de Transparencia y Acceso a la Información Pública del Estado, esta Comisión procede a analizar el presente sumario a efecto de determinar el cumplimiento o incumplimiento a la resolución dictada en el recurso de revisión que se actúa.</w:t>
      </w:r>
    </w:p>
    <w:p w14:paraId="3612B016" w14:textId="77777777" w:rsidR="004554E6" w:rsidRPr="00264A5C" w:rsidRDefault="004554E6" w:rsidP="004554E6">
      <w:pPr>
        <w:spacing w:line="360" w:lineRule="auto"/>
        <w:ind w:firstLine="708"/>
        <w:jc w:val="both"/>
        <w:rPr>
          <w:rFonts w:ascii="Arial" w:hAnsi="Arial" w:cs="Arial"/>
        </w:rPr>
      </w:pPr>
    </w:p>
    <w:p w14:paraId="05FA15D6" w14:textId="77777777" w:rsidR="004554E6" w:rsidRPr="00264A5C" w:rsidRDefault="004554E6" w:rsidP="004554E6">
      <w:pPr>
        <w:spacing w:line="360" w:lineRule="auto"/>
        <w:ind w:firstLine="708"/>
        <w:jc w:val="both"/>
        <w:rPr>
          <w:rFonts w:ascii="Arial" w:hAnsi="Arial" w:cs="Arial"/>
        </w:rPr>
      </w:pPr>
      <w:r w:rsidRPr="00264A5C">
        <w:rPr>
          <w:rFonts w:ascii="Arial" w:hAnsi="Arial" w:cs="Arial"/>
        </w:rPr>
        <w:t>En primer término, resulta necesario insertar los efectos dictados en la resolución:</w:t>
      </w:r>
    </w:p>
    <w:p w14:paraId="66245E0C" w14:textId="77777777" w:rsidR="004554E6" w:rsidRPr="00264A5C" w:rsidRDefault="004554E6" w:rsidP="004554E6">
      <w:pPr>
        <w:pStyle w:val="corte4fondo"/>
        <w:tabs>
          <w:tab w:val="left" w:pos="567"/>
        </w:tabs>
        <w:rPr>
          <w:rFonts w:cs="Arial"/>
          <w:i/>
          <w:sz w:val="24"/>
          <w:szCs w:val="24"/>
        </w:rPr>
      </w:pPr>
    </w:p>
    <w:p w14:paraId="1C38F21D" w14:textId="77777777" w:rsidR="004554E6" w:rsidRPr="00264A5C" w:rsidRDefault="004554E6" w:rsidP="004554E6">
      <w:pPr>
        <w:pStyle w:val="corte4fondo"/>
        <w:tabs>
          <w:tab w:val="left" w:pos="567"/>
        </w:tabs>
        <w:rPr>
          <w:rFonts w:cs="Arial"/>
          <w:i/>
          <w:sz w:val="24"/>
          <w:szCs w:val="24"/>
        </w:rPr>
      </w:pPr>
      <w:r w:rsidRPr="00264A5C">
        <w:rPr>
          <w:rFonts w:cs="Arial"/>
          <w:i/>
          <w:sz w:val="24"/>
          <w:szCs w:val="24"/>
        </w:rPr>
        <w:t>“[…] 7.2 Sentido y efectos de la resolución.</w:t>
      </w:r>
    </w:p>
    <w:p w14:paraId="4FAD10C2" w14:textId="77777777" w:rsidR="004554E6" w:rsidRPr="00264A5C" w:rsidRDefault="004554E6" w:rsidP="004554E6">
      <w:pPr>
        <w:pStyle w:val="corte4fondo"/>
        <w:tabs>
          <w:tab w:val="left" w:pos="567"/>
        </w:tabs>
        <w:rPr>
          <w:rFonts w:cs="Arial"/>
          <w:i/>
          <w:sz w:val="24"/>
          <w:szCs w:val="24"/>
        </w:rPr>
      </w:pPr>
    </w:p>
    <w:p w14:paraId="3D68D498" w14:textId="77777777" w:rsidR="004554E6" w:rsidRPr="00264A5C" w:rsidRDefault="004554E6" w:rsidP="004554E6">
      <w:pPr>
        <w:pStyle w:val="corte4fondo"/>
        <w:tabs>
          <w:tab w:val="left" w:pos="567"/>
        </w:tabs>
        <w:rPr>
          <w:rFonts w:cs="Arial"/>
          <w:i/>
          <w:sz w:val="24"/>
          <w:szCs w:val="24"/>
        </w:rPr>
      </w:pPr>
      <w:r w:rsidRPr="00264A5C">
        <w:rPr>
          <w:rFonts w:cs="Arial"/>
          <w:i/>
          <w:sz w:val="24"/>
          <w:szCs w:val="24"/>
        </w:rPr>
        <w:t>En las condiciones anotadas y, al haber resultado fundado el agravio en suplencia, este órgano colegiado de conformidad con el artículo 175, fracción III, de la Ley de Transparencia y Acceso a la Información Pública del Estado modifica la respuesta proporcionada por el sujeto obligado y, por lo tanto conmina a que:</w:t>
      </w:r>
    </w:p>
    <w:p w14:paraId="79B09731" w14:textId="77777777" w:rsidR="004554E6" w:rsidRPr="00264A5C" w:rsidRDefault="004554E6" w:rsidP="004554E6">
      <w:pPr>
        <w:pStyle w:val="corte4fondo"/>
        <w:tabs>
          <w:tab w:val="left" w:pos="567"/>
        </w:tabs>
        <w:rPr>
          <w:rFonts w:cs="Arial"/>
          <w:i/>
          <w:sz w:val="24"/>
          <w:szCs w:val="24"/>
        </w:rPr>
      </w:pPr>
    </w:p>
    <w:p w14:paraId="06A53A0D" w14:textId="77777777" w:rsidR="004554E6" w:rsidRPr="00264A5C" w:rsidRDefault="004554E6" w:rsidP="004554E6">
      <w:pPr>
        <w:pStyle w:val="corte4fondo"/>
        <w:tabs>
          <w:tab w:val="left" w:pos="567"/>
        </w:tabs>
        <w:rPr>
          <w:rFonts w:cs="Arial"/>
          <w:i/>
          <w:sz w:val="24"/>
          <w:szCs w:val="24"/>
        </w:rPr>
      </w:pPr>
      <w:r w:rsidRPr="00264A5C">
        <w:rPr>
          <w:rFonts w:cs="Arial"/>
          <w:i/>
          <w:sz w:val="24"/>
          <w:szCs w:val="24"/>
        </w:rPr>
        <w:t>I.</w:t>
      </w:r>
      <w:r w:rsidRPr="00264A5C">
        <w:rPr>
          <w:rFonts w:cs="Arial"/>
          <w:i/>
          <w:sz w:val="24"/>
          <w:szCs w:val="24"/>
        </w:rPr>
        <w:tab/>
        <w:t>Realice una búsqueda exhaustiva de la información relativa a los informes de auditoría realizados en los años 2015, 2016 y 2017, relativos al fondo metropolitano, así como todos y cada uno de los oficios, memorándum, minutas, actas y/o cualquier documento relacionado con este tema.</w:t>
      </w:r>
    </w:p>
    <w:p w14:paraId="0BB0B2F5" w14:textId="77777777" w:rsidR="004554E6" w:rsidRPr="00264A5C" w:rsidRDefault="004554E6" w:rsidP="004554E6">
      <w:pPr>
        <w:pStyle w:val="corte4fondo"/>
        <w:tabs>
          <w:tab w:val="left" w:pos="567"/>
        </w:tabs>
        <w:rPr>
          <w:rFonts w:cs="Arial"/>
          <w:i/>
          <w:sz w:val="24"/>
          <w:szCs w:val="24"/>
        </w:rPr>
      </w:pPr>
    </w:p>
    <w:p w14:paraId="14CE1741" w14:textId="77777777" w:rsidR="004554E6" w:rsidRPr="00264A5C" w:rsidRDefault="004554E6" w:rsidP="004554E6">
      <w:pPr>
        <w:pStyle w:val="corte4fondo"/>
        <w:tabs>
          <w:tab w:val="left" w:pos="567"/>
        </w:tabs>
        <w:rPr>
          <w:rFonts w:cs="Arial"/>
          <w:i/>
          <w:sz w:val="24"/>
          <w:szCs w:val="24"/>
        </w:rPr>
      </w:pPr>
      <w:r w:rsidRPr="00264A5C">
        <w:rPr>
          <w:rFonts w:cs="Arial"/>
          <w:i/>
          <w:sz w:val="24"/>
          <w:szCs w:val="24"/>
        </w:rPr>
        <w:t>1.1 En el caso de que encuentre información al respecto, la entregue al recurrente.</w:t>
      </w:r>
    </w:p>
    <w:p w14:paraId="415EDF92" w14:textId="77777777" w:rsidR="004554E6" w:rsidRPr="00264A5C" w:rsidRDefault="004554E6" w:rsidP="004554E6">
      <w:pPr>
        <w:pStyle w:val="corte4fondo"/>
        <w:tabs>
          <w:tab w:val="left" w:pos="567"/>
        </w:tabs>
        <w:rPr>
          <w:rFonts w:cs="Arial"/>
          <w:i/>
          <w:sz w:val="24"/>
          <w:szCs w:val="24"/>
        </w:rPr>
      </w:pPr>
      <w:r w:rsidRPr="00264A5C">
        <w:rPr>
          <w:rFonts w:cs="Arial"/>
          <w:i/>
          <w:sz w:val="24"/>
          <w:szCs w:val="24"/>
        </w:rPr>
        <w:t>1.2 En caso de no encontrar información, funde y motive la inexistencia de la misma y de vista al Comité de Transparencia.</w:t>
      </w:r>
    </w:p>
    <w:p w14:paraId="6FB3BE66" w14:textId="77777777" w:rsidR="004554E6" w:rsidRPr="00264A5C" w:rsidRDefault="004554E6" w:rsidP="004554E6">
      <w:pPr>
        <w:pStyle w:val="corte4fondo"/>
        <w:tabs>
          <w:tab w:val="left" w:pos="567"/>
        </w:tabs>
        <w:rPr>
          <w:rFonts w:cs="Arial"/>
          <w:i/>
          <w:sz w:val="24"/>
          <w:szCs w:val="24"/>
        </w:rPr>
      </w:pPr>
      <w:r w:rsidRPr="00264A5C">
        <w:rPr>
          <w:rFonts w:cs="Arial"/>
          <w:i/>
          <w:sz w:val="24"/>
          <w:szCs w:val="24"/>
        </w:rPr>
        <w:t xml:space="preserve">1.2.1 Notifique al particular la resolución del Comité de Transparencia. […]” </w:t>
      </w:r>
    </w:p>
    <w:p w14:paraId="5D9C5181" w14:textId="77777777" w:rsidR="004554E6" w:rsidRPr="00264A5C" w:rsidRDefault="004554E6" w:rsidP="004554E6">
      <w:pPr>
        <w:spacing w:line="360" w:lineRule="auto"/>
        <w:jc w:val="both"/>
        <w:rPr>
          <w:rFonts w:ascii="Arial" w:hAnsi="Arial" w:cs="Arial"/>
        </w:rPr>
      </w:pPr>
    </w:p>
    <w:p w14:paraId="50EFA4D8" w14:textId="77777777" w:rsidR="004554E6" w:rsidRPr="00264A5C" w:rsidRDefault="004554E6" w:rsidP="004554E6">
      <w:pPr>
        <w:spacing w:line="360" w:lineRule="auto"/>
        <w:ind w:firstLine="708"/>
        <w:jc w:val="both"/>
        <w:rPr>
          <w:rFonts w:ascii="Arial" w:hAnsi="Arial" w:cs="Arial"/>
        </w:rPr>
      </w:pPr>
      <w:r w:rsidRPr="00264A5C">
        <w:rPr>
          <w:rFonts w:ascii="Arial" w:hAnsi="Arial" w:cs="Arial"/>
        </w:rPr>
        <w:lastRenderedPageBreak/>
        <w:t>Debido a lo anterior, el sujeto obligado por conducto del Titular de la Unidad de Transparencia presentó un escrito, recibido en la oficialía de partes de este cuerpo colegiado el 25 veinticinco de junio de 2018 dos mil dieciocho, junto con 21 anexos, donde informa sobre el cumplimiento al resolutivo en análisis y señala medularmente lo siguiente:</w:t>
      </w:r>
    </w:p>
    <w:p w14:paraId="1493CA4A" w14:textId="77777777" w:rsidR="004554E6" w:rsidRPr="00264A5C" w:rsidRDefault="004554E6" w:rsidP="004554E6">
      <w:pPr>
        <w:spacing w:line="360" w:lineRule="auto"/>
        <w:jc w:val="both"/>
        <w:rPr>
          <w:rFonts w:ascii="Arial" w:hAnsi="Arial" w:cs="Arial"/>
        </w:rPr>
      </w:pPr>
    </w:p>
    <w:p w14:paraId="04C427DE" w14:textId="77777777" w:rsidR="004554E6" w:rsidRPr="00264A5C" w:rsidRDefault="004554E6" w:rsidP="004554E6">
      <w:pPr>
        <w:spacing w:line="360" w:lineRule="auto"/>
        <w:ind w:left="680"/>
        <w:jc w:val="both"/>
        <w:rPr>
          <w:rFonts w:ascii="Arial" w:hAnsi="Arial" w:cs="Arial"/>
          <w:i/>
        </w:rPr>
      </w:pPr>
      <w:r w:rsidRPr="00264A5C">
        <w:rPr>
          <w:rFonts w:ascii="Arial" w:hAnsi="Arial" w:cs="Arial"/>
          <w:i/>
        </w:rPr>
        <w:t>“[…]con el propósito de dar cumplimiento a lo requerido, la Auditoria Especial de Fiscalización Gubernamental de Organismos Autónomos y organismos Descentralizados, procedió a solicitar se realizará una búsqueda exhaustiva de la información requerida al interior de esta Auditoría Superior del Estado, remitiendo los memorándums números ASE-AEFG-101/2018, ASE-AEFG-102/2018, ASE-AEFG-103/2018, ASE-AEFG-104/2018, ASE-AEFG-105/2018 y ASE-AEFG-106/2018 […].”</w:t>
      </w:r>
    </w:p>
    <w:p w14:paraId="743A1EDA" w14:textId="77777777" w:rsidR="004554E6" w:rsidRPr="00264A5C" w:rsidRDefault="004554E6" w:rsidP="004554E6">
      <w:pPr>
        <w:spacing w:line="360" w:lineRule="auto"/>
        <w:ind w:left="680"/>
        <w:jc w:val="both"/>
        <w:rPr>
          <w:rFonts w:ascii="Arial" w:hAnsi="Arial" w:cs="Arial"/>
          <w:i/>
        </w:rPr>
      </w:pPr>
    </w:p>
    <w:p w14:paraId="5066318D" w14:textId="456A1133" w:rsidR="004554E6" w:rsidRPr="00264A5C" w:rsidRDefault="004554E6" w:rsidP="004554E6">
      <w:pPr>
        <w:spacing w:line="360" w:lineRule="auto"/>
        <w:ind w:left="680"/>
        <w:jc w:val="both"/>
        <w:rPr>
          <w:rFonts w:ascii="Arial" w:hAnsi="Arial" w:cs="Arial"/>
          <w:i/>
        </w:rPr>
      </w:pPr>
      <w:r w:rsidRPr="00264A5C">
        <w:rPr>
          <w:rFonts w:ascii="Arial" w:hAnsi="Arial" w:cs="Arial"/>
          <w:i/>
        </w:rPr>
        <w:t xml:space="preserve">“[…]Derivado de lo anterior el área señalada concluyó que una vez realizada la búsqueda de la información en los archivos de las diversas áreas que conforman a este órgano Fiscalizador, no cuenta con la información señalada y solicitada referente a “ los informes de auditoría realizados en los años 2015, 2016 relativos al fondo metropolitano, así como todos y cada uno de los oficios, memorándum, minutas, actas y/o cualquier documento relacionado con este tema”; toda vez que no fue ejercida la facultad otorgada a este Ente y establecida en el artículo 7° de la abrogada Ley de Auditoria Superior del Estado […].” </w:t>
      </w:r>
    </w:p>
    <w:p w14:paraId="7B87CE0D" w14:textId="77777777" w:rsidR="004554E6" w:rsidRPr="00264A5C" w:rsidRDefault="004554E6" w:rsidP="004554E6">
      <w:pPr>
        <w:spacing w:line="360" w:lineRule="auto"/>
        <w:jc w:val="both"/>
        <w:rPr>
          <w:rFonts w:ascii="Arial" w:hAnsi="Arial" w:cs="Arial"/>
          <w:highlight w:val="yellow"/>
        </w:rPr>
      </w:pPr>
    </w:p>
    <w:p w14:paraId="23F8D524" w14:textId="77777777" w:rsidR="004554E6" w:rsidRPr="00264A5C" w:rsidRDefault="004554E6" w:rsidP="004554E6">
      <w:pPr>
        <w:pStyle w:val="corte4fondo"/>
        <w:tabs>
          <w:tab w:val="left" w:pos="567"/>
        </w:tabs>
        <w:rPr>
          <w:rFonts w:cs="Arial"/>
          <w:sz w:val="24"/>
          <w:szCs w:val="24"/>
        </w:rPr>
      </w:pPr>
      <w:r w:rsidRPr="00264A5C">
        <w:rPr>
          <w:rFonts w:cs="Arial"/>
          <w:sz w:val="24"/>
          <w:szCs w:val="24"/>
        </w:rPr>
        <w:t>Ahora bien, para efecto del presente estudio es importante revisar contenido de los anexos y escritos aportados por el sujeto obligado (visibles a fojas 82 a 135 de autos), mismos que comprenden la gestión interna realizada por la Auditoria Superior del Estado para la obtención de la información solicitada</w:t>
      </w:r>
      <w:bookmarkStart w:id="1" w:name="_Hlk524514729"/>
      <w:r w:rsidRPr="00264A5C">
        <w:rPr>
          <w:rFonts w:cs="Arial"/>
          <w:sz w:val="24"/>
          <w:szCs w:val="24"/>
        </w:rPr>
        <w:t>, así como, el acta correspondiente a la décima primera sesión extraordinaria de junio 2018, la respuesta otorgada al recurrente y las capturas de pantalla mediante las cuales acredita el envió de la información solicitada.</w:t>
      </w:r>
    </w:p>
    <w:p w14:paraId="1C1588D7" w14:textId="77777777" w:rsidR="004554E6" w:rsidRPr="00264A5C" w:rsidRDefault="004554E6" w:rsidP="004554E6">
      <w:pPr>
        <w:pStyle w:val="corte4fondo"/>
        <w:tabs>
          <w:tab w:val="left" w:pos="567"/>
        </w:tabs>
        <w:rPr>
          <w:rFonts w:cs="Arial"/>
          <w:sz w:val="24"/>
          <w:szCs w:val="24"/>
        </w:rPr>
      </w:pPr>
    </w:p>
    <w:bookmarkEnd w:id="1"/>
    <w:p w14:paraId="012F73E1" w14:textId="77777777" w:rsidR="004554E6" w:rsidRPr="00264A5C" w:rsidRDefault="004554E6" w:rsidP="004554E6">
      <w:pPr>
        <w:spacing w:line="360" w:lineRule="auto"/>
        <w:jc w:val="both"/>
        <w:rPr>
          <w:rFonts w:ascii="Arial" w:hAnsi="Arial" w:cs="Arial"/>
        </w:rPr>
      </w:pPr>
      <w:r w:rsidRPr="00264A5C">
        <w:rPr>
          <w:rFonts w:cs="Arial"/>
        </w:rPr>
        <w:lastRenderedPageBreak/>
        <w:tab/>
      </w:r>
      <w:r w:rsidRPr="00264A5C">
        <w:rPr>
          <w:rFonts w:ascii="Arial" w:hAnsi="Arial" w:cs="Arial"/>
        </w:rPr>
        <w:t>Con relación a lo anterior, al realizar el análisis de la respuesta emitida por el sujeto obligado, se advierte, que el acta de la décima primera reunión del Comité de Transparencia, contiene lo referente a la respuesta emitida por el sujeto obligado al recurrente, pues contiene el acuerdo No.ASE-CT-11SE-18622018 mediante los cuales se decreta la inexistencia de la información, así como, se instruye al titular de la Unidad de Transparencia, informe al peticionario la resolución dictada.</w:t>
      </w:r>
    </w:p>
    <w:p w14:paraId="147D3510" w14:textId="77777777" w:rsidR="004554E6" w:rsidRPr="00264A5C" w:rsidRDefault="004554E6" w:rsidP="004554E6">
      <w:pPr>
        <w:spacing w:line="360" w:lineRule="auto"/>
        <w:ind w:firstLine="680"/>
        <w:jc w:val="both"/>
        <w:rPr>
          <w:rFonts w:ascii="Arial" w:hAnsi="Arial" w:cs="Arial"/>
        </w:rPr>
      </w:pPr>
      <w:r w:rsidRPr="00264A5C">
        <w:rPr>
          <w:rFonts w:ascii="Arial" w:hAnsi="Arial" w:cs="Arial"/>
        </w:rPr>
        <w:t xml:space="preserve">Así las cosas, el sujeto obligado también acompañó la constancia que acredita que dichas respuestas fueron notificadas al recurrente, notificación via electrónica realizada al recurrente, constancias que generan la convicción de que la notificación fue efectuada de manera correcta, ya que el recurrente señaló en su escrito de interposición de su recurso de revisión que las notificaciones fueran practicadas por ese medio. (visible en fojas 131 a 135) </w:t>
      </w:r>
    </w:p>
    <w:p w14:paraId="226974BE" w14:textId="77777777" w:rsidR="004554E6" w:rsidRPr="00264A5C" w:rsidRDefault="004554E6" w:rsidP="004554E6">
      <w:pPr>
        <w:spacing w:line="360" w:lineRule="auto"/>
        <w:jc w:val="both"/>
        <w:rPr>
          <w:rFonts w:ascii="Arial" w:hAnsi="Arial" w:cs="Arial"/>
        </w:rPr>
      </w:pPr>
    </w:p>
    <w:p w14:paraId="42B05867" w14:textId="77777777" w:rsidR="004554E6" w:rsidRPr="00264A5C" w:rsidRDefault="004554E6" w:rsidP="004554E6">
      <w:pPr>
        <w:spacing w:line="360" w:lineRule="auto"/>
        <w:ind w:firstLine="680"/>
        <w:jc w:val="both"/>
        <w:rPr>
          <w:rFonts w:ascii="Arial" w:hAnsi="Arial" w:cs="Arial"/>
        </w:rPr>
      </w:pPr>
      <w:r w:rsidRPr="00264A5C">
        <w:rPr>
          <w:rFonts w:ascii="Arial" w:hAnsi="Arial" w:cs="Arial"/>
        </w:rPr>
        <w:t>De tal suerte, se tiene que las documentales remitidas por el sujeto obligado, son suficientes para colmar los extremos fijados en la resolución de mérito y por tanto se encuentra cumplida.</w:t>
      </w:r>
    </w:p>
    <w:p w14:paraId="023C5288" w14:textId="77777777" w:rsidR="004554E6" w:rsidRPr="00264A5C" w:rsidRDefault="004554E6" w:rsidP="004554E6">
      <w:pPr>
        <w:spacing w:line="360" w:lineRule="auto"/>
        <w:ind w:firstLine="680"/>
        <w:jc w:val="both"/>
        <w:rPr>
          <w:rFonts w:ascii="Arial" w:hAnsi="Arial" w:cs="Arial"/>
        </w:rPr>
      </w:pPr>
    </w:p>
    <w:p w14:paraId="5F36E4CD" w14:textId="77777777" w:rsidR="004554E6" w:rsidRPr="00264A5C" w:rsidRDefault="004554E6" w:rsidP="004554E6">
      <w:pPr>
        <w:spacing w:line="360" w:lineRule="auto"/>
        <w:ind w:firstLine="680"/>
        <w:jc w:val="both"/>
        <w:rPr>
          <w:rFonts w:ascii="Arial" w:hAnsi="Arial" w:cs="Arial"/>
        </w:rPr>
      </w:pPr>
      <w:r w:rsidRPr="00264A5C">
        <w:rPr>
          <w:rFonts w:ascii="Arial" w:hAnsi="Arial" w:cs="Arial"/>
        </w:rPr>
        <w:t>Por otro lado, esta Comisión por medio de proveído de fecha 06 seis de agosto de dos mil dieciocho, dio vista a la parte recurrente con las constancias remitidas por el sujeto obligado, para el efecto de que realizara las manifestaciones que a sus intereses conviniera, a lo que no realizó manifestación al respecto.</w:t>
      </w:r>
    </w:p>
    <w:p w14:paraId="57F46B8F" w14:textId="77777777" w:rsidR="004554E6" w:rsidRPr="00264A5C" w:rsidRDefault="004554E6" w:rsidP="004554E6">
      <w:pPr>
        <w:spacing w:line="360" w:lineRule="auto"/>
        <w:ind w:firstLine="680"/>
        <w:jc w:val="both"/>
        <w:rPr>
          <w:rFonts w:ascii="Arial" w:hAnsi="Arial" w:cs="Arial"/>
        </w:rPr>
      </w:pPr>
      <w:r w:rsidRPr="00264A5C">
        <w:rPr>
          <w:rFonts w:ascii="Arial" w:hAnsi="Arial" w:cs="Arial"/>
        </w:rPr>
        <w:t xml:space="preserve">En ese sentido, es dable asentar que no existe constancia alguna agregada a los autos que contravenga las documentales remitidas por el sujeto obligado para acreditar el cumplimiento de la resolución. </w:t>
      </w:r>
    </w:p>
    <w:p w14:paraId="56CF2AAF" w14:textId="77777777" w:rsidR="004554E6" w:rsidRPr="00264A5C" w:rsidRDefault="004554E6" w:rsidP="004554E6">
      <w:pPr>
        <w:spacing w:line="360" w:lineRule="auto"/>
        <w:ind w:firstLine="680"/>
        <w:jc w:val="both"/>
        <w:rPr>
          <w:rFonts w:ascii="Arial" w:hAnsi="Arial" w:cs="Arial"/>
        </w:rPr>
      </w:pPr>
    </w:p>
    <w:p w14:paraId="64A55E54" w14:textId="77777777" w:rsidR="004554E6" w:rsidRPr="00264A5C" w:rsidRDefault="004554E6" w:rsidP="004554E6">
      <w:pPr>
        <w:spacing w:line="360" w:lineRule="auto"/>
        <w:ind w:firstLine="680"/>
        <w:jc w:val="both"/>
        <w:rPr>
          <w:rFonts w:ascii="Arial" w:hAnsi="Arial" w:cs="Arial"/>
          <w:b/>
          <w:u w:val="single"/>
        </w:rPr>
      </w:pPr>
      <w:r w:rsidRPr="00264A5C">
        <w:rPr>
          <w:rFonts w:ascii="Arial" w:hAnsi="Arial" w:cs="Arial"/>
        </w:rPr>
        <w:t xml:space="preserve">En consecuencia, por lo anteriormente expuesto y con fundamento en los artículos 27° primer párrafo y 185 de la Ley de Transparencia y Acceso a la Información Pública del Estado, </w:t>
      </w:r>
      <w:r w:rsidRPr="00264A5C">
        <w:rPr>
          <w:rFonts w:ascii="Arial" w:hAnsi="Arial" w:cs="Arial"/>
          <w:b/>
          <w:u w:val="single"/>
        </w:rPr>
        <w:t>se tiene por cumplida la resolución, dictada en el recurso de revisión RR-151/2018-1.</w:t>
      </w:r>
    </w:p>
    <w:p w14:paraId="3720A5CA" w14:textId="77777777" w:rsidR="004554E6" w:rsidRPr="00264A5C" w:rsidRDefault="004554E6" w:rsidP="004554E6">
      <w:pPr>
        <w:spacing w:line="360" w:lineRule="auto"/>
        <w:ind w:firstLine="680"/>
        <w:jc w:val="both"/>
        <w:rPr>
          <w:rFonts w:ascii="Arial" w:hAnsi="Arial" w:cs="Arial"/>
        </w:rPr>
      </w:pPr>
    </w:p>
    <w:p w14:paraId="7A851816" w14:textId="77777777" w:rsidR="004554E6" w:rsidRPr="00264A5C" w:rsidRDefault="004554E6" w:rsidP="004554E6">
      <w:pPr>
        <w:spacing w:line="360" w:lineRule="auto"/>
        <w:ind w:firstLine="680"/>
        <w:jc w:val="both"/>
        <w:rPr>
          <w:rFonts w:ascii="Arial" w:hAnsi="Arial" w:cs="Arial"/>
        </w:rPr>
      </w:pPr>
      <w:r w:rsidRPr="00264A5C">
        <w:rPr>
          <w:rFonts w:ascii="Arial" w:hAnsi="Arial" w:cs="Arial"/>
        </w:rPr>
        <w:t xml:space="preserve"> Por último, archívese en su oportunidad este expediente como asunto totalmente concluido. Notifíquese por lista y personalmente a las partes.</w:t>
      </w:r>
    </w:p>
    <w:p w14:paraId="5EF9FECC" w14:textId="77777777" w:rsidR="004554E6" w:rsidRPr="00264A5C" w:rsidRDefault="004554E6" w:rsidP="004554E6">
      <w:pPr>
        <w:spacing w:line="360" w:lineRule="auto"/>
        <w:ind w:firstLine="680"/>
        <w:jc w:val="both"/>
        <w:rPr>
          <w:rFonts w:ascii="Arial" w:hAnsi="Arial" w:cs="Arial"/>
        </w:rPr>
      </w:pPr>
      <w:r w:rsidRPr="00264A5C">
        <w:rPr>
          <w:rFonts w:ascii="Arial" w:hAnsi="Arial" w:cs="Arial"/>
        </w:rPr>
        <w:lastRenderedPageBreak/>
        <w:tab/>
      </w:r>
    </w:p>
    <w:p w14:paraId="37B0CD39" w14:textId="2A9F545E" w:rsidR="004554E6" w:rsidRPr="00264A5C" w:rsidRDefault="004554E6" w:rsidP="004554E6">
      <w:pPr>
        <w:spacing w:line="360" w:lineRule="auto"/>
        <w:ind w:firstLine="680"/>
        <w:jc w:val="both"/>
        <w:rPr>
          <w:rFonts w:ascii="Arial" w:hAnsi="Arial" w:cs="Arial"/>
        </w:rPr>
      </w:pPr>
      <w:r w:rsidRPr="00264A5C">
        <w:rPr>
          <w:rFonts w:ascii="Arial" w:hAnsi="Arial" w:cs="Arial"/>
        </w:rPr>
        <w:t>Así lo proveyó y firma el Comisionado ponente de la Comisión Estatal de Garantía de Acceso a la Información Pública Alejandro Lafuente Torres, que actúa con Licenciada Rosa María Motilla García, Secretaria de Pleno de esta Comisión.</w:t>
      </w:r>
      <w:r w:rsidR="00264A5C" w:rsidRPr="00264A5C">
        <w:rPr>
          <w:rFonts w:ascii="Arial" w:hAnsi="Arial" w:cs="Arial"/>
        </w:rPr>
        <w:t xml:space="preserve"> (RUBRICAS)</w:t>
      </w:r>
    </w:p>
    <w:bookmarkEnd w:id="0"/>
    <w:p w14:paraId="7C9C8230" w14:textId="68C00C28" w:rsidR="007316FE" w:rsidRPr="00264A5C" w:rsidRDefault="007316FE" w:rsidP="008C246C">
      <w:pPr>
        <w:jc w:val="center"/>
      </w:pPr>
    </w:p>
    <w:sectPr w:rsidR="007316FE" w:rsidRPr="00264A5C" w:rsidSect="0045372A">
      <w:pgSz w:w="12240" w:h="20160" w:code="5"/>
      <w:pgMar w:top="2977" w:right="851" w:bottom="2268" w:left="3402"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75F5FDC" w14:textId="77777777" w:rsidR="00975887" w:rsidRDefault="00975887" w:rsidP="00C13204">
      <w:r>
        <w:separator/>
      </w:r>
    </w:p>
  </w:endnote>
  <w:endnote w:type="continuationSeparator" w:id="0">
    <w:p w14:paraId="1CD68322" w14:textId="77777777" w:rsidR="00975887" w:rsidRDefault="00975887" w:rsidP="00C132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B1186A4" w14:textId="77777777" w:rsidR="00975887" w:rsidRDefault="00975887" w:rsidP="00C13204">
      <w:r>
        <w:separator/>
      </w:r>
    </w:p>
  </w:footnote>
  <w:footnote w:type="continuationSeparator" w:id="0">
    <w:p w14:paraId="1D355058" w14:textId="77777777" w:rsidR="00975887" w:rsidRDefault="00975887" w:rsidP="00C1320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581358B"/>
    <w:multiLevelType w:val="hybridMultilevel"/>
    <w:tmpl w:val="570A912A"/>
    <w:lvl w:ilvl="0" w:tplc="080A0013">
      <w:start w:val="1"/>
      <w:numFmt w:val="upperRoman"/>
      <w:lvlText w:val="%1."/>
      <w:lvlJc w:val="right"/>
      <w:pPr>
        <w:ind w:left="1530" w:hanging="360"/>
      </w:pPr>
    </w:lvl>
    <w:lvl w:ilvl="1" w:tplc="080A0019" w:tentative="1">
      <w:start w:val="1"/>
      <w:numFmt w:val="lowerLetter"/>
      <w:lvlText w:val="%2."/>
      <w:lvlJc w:val="left"/>
      <w:pPr>
        <w:ind w:left="2250" w:hanging="360"/>
      </w:pPr>
    </w:lvl>
    <w:lvl w:ilvl="2" w:tplc="080A001B" w:tentative="1">
      <w:start w:val="1"/>
      <w:numFmt w:val="lowerRoman"/>
      <w:lvlText w:val="%3."/>
      <w:lvlJc w:val="right"/>
      <w:pPr>
        <w:ind w:left="2970" w:hanging="180"/>
      </w:pPr>
    </w:lvl>
    <w:lvl w:ilvl="3" w:tplc="080A000F" w:tentative="1">
      <w:start w:val="1"/>
      <w:numFmt w:val="decimal"/>
      <w:lvlText w:val="%4."/>
      <w:lvlJc w:val="left"/>
      <w:pPr>
        <w:ind w:left="3690" w:hanging="360"/>
      </w:pPr>
    </w:lvl>
    <w:lvl w:ilvl="4" w:tplc="080A0019" w:tentative="1">
      <w:start w:val="1"/>
      <w:numFmt w:val="lowerLetter"/>
      <w:lvlText w:val="%5."/>
      <w:lvlJc w:val="left"/>
      <w:pPr>
        <w:ind w:left="4410" w:hanging="360"/>
      </w:pPr>
    </w:lvl>
    <w:lvl w:ilvl="5" w:tplc="080A001B" w:tentative="1">
      <w:start w:val="1"/>
      <w:numFmt w:val="lowerRoman"/>
      <w:lvlText w:val="%6."/>
      <w:lvlJc w:val="right"/>
      <w:pPr>
        <w:ind w:left="5130" w:hanging="180"/>
      </w:pPr>
    </w:lvl>
    <w:lvl w:ilvl="6" w:tplc="080A000F" w:tentative="1">
      <w:start w:val="1"/>
      <w:numFmt w:val="decimal"/>
      <w:lvlText w:val="%7."/>
      <w:lvlJc w:val="left"/>
      <w:pPr>
        <w:ind w:left="5850" w:hanging="360"/>
      </w:pPr>
    </w:lvl>
    <w:lvl w:ilvl="7" w:tplc="080A0019" w:tentative="1">
      <w:start w:val="1"/>
      <w:numFmt w:val="lowerLetter"/>
      <w:lvlText w:val="%8."/>
      <w:lvlJc w:val="left"/>
      <w:pPr>
        <w:ind w:left="6570" w:hanging="360"/>
      </w:pPr>
    </w:lvl>
    <w:lvl w:ilvl="8" w:tplc="080A001B" w:tentative="1">
      <w:start w:val="1"/>
      <w:numFmt w:val="lowerRoman"/>
      <w:lvlText w:val="%9."/>
      <w:lvlJc w:val="right"/>
      <w:pPr>
        <w:ind w:left="7290" w:hanging="180"/>
      </w:pPr>
    </w:lvl>
  </w:abstractNum>
  <w:abstractNum w:abstractNumId="1">
    <w:nsid w:val="38B81E2B"/>
    <w:multiLevelType w:val="hybridMultilevel"/>
    <w:tmpl w:val="264456C0"/>
    <w:lvl w:ilvl="0" w:tplc="080A0001">
      <w:start w:val="1"/>
      <w:numFmt w:val="bullet"/>
      <w:lvlText w:val=""/>
      <w:lvlJc w:val="left"/>
      <w:pPr>
        <w:ind w:left="780" w:hanging="360"/>
      </w:pPr>
      <w:rPr>
        <w:rFonts w:ascii="Symbol" w:hAnsi="Symbol" w:hint="default"/>
      </w:rPr>
    </w:lvl>
    <w:lvl w:ilvl="1" w:tplc="080A0003" w:tentative="1">
      <w:start w:val="1"/>
      <w:numFmt w:val="bullet"/>
      <w:lvlText w:val="o"/>
      <w:lvlJc w:val="left"/>
      <w:pPr>
        <w:ind w:left="1500" w:hanging="360"/>
      </w:pPr>
      <w:rPr>
        <w:rFonts w:ascii="Courier New" w:hAnsi="Courier New" w:cs="Courier New" w:hint="default"/>
      </w:rPr>
    </w:lvl>
    <w:lvl w:ilvl="2" w:tplc="080A0005" w:tentative="1">
      <w:start w:val="1"/>
      <w:numFmt w:val="bullet"/>
      <w:lvlText w:val=""/>
      <w:lvlJc w:val="left"/>
      <w:pPr>
        <w:ind w:left="2220" w:hanging="360"/>
      </w:pPr>
      <w:rPr>
        <w:rFonts w:ascii="Wingdings" w:hAnsi="Wingdings" w:hint="default"/>
      </w:rPr>
    </w:lvl>
    <w:lvl w:ilvl="3" w:tplc="080A0001" w:tentative="1">
      <w:start w:val="1"/>
      <w:numFmt w:val="bullet"/>
      <w:lvlText w:val=""/>
      <w:lvlJc w:val="left"/>
      <w:pPr>
        <w:ind w:left="2940" w:hanging="360"/>
      </w:pPr>
      <w:rPr>
        <w:rFonts w:ascii="Symbol" w:hAnsi="Symbol" w:hint="default"/>
      </w:rPr>
    </w:lvl>
    <w:lvl w:ilvl="4" w:tplc="080A0003" w:tentative="1">
      <w:start w:val="1"/>
      <w:numFmt w:val="bullet"/>
      <w:lvlText w:val="o"/>
      <w:lvlJc w:val="left"/>
      <w:pPr>
        <w:ind w:left="3660" w:hanging="360"/>
      </w:pPr>
      <w:rPr>
        <w:rFonts w:ascii="Courier New" w:hAnsi="Courier New" w:cs="Courier New" w:hint="default"/>
      </w:rPr>
    </w:lvl>
    <w:lvl w:ilvl="5" w:tplc="080A0005" w:tentative="1">
      <w:start w:val="1"/>
      <w:numFmt w:val="bullet"/>
      <w:lvlText w:val=""/>
      <w:lvlJc w:val="left"/>
      <w:pPr>
        <w:ind w:left="4380" w:hanging="360"/>
      </w:pPr>
      <w:rPr>
        <w:rFonts w:ascii="Wingdings" w:hAnsi="Wingdings" w:hint="default"/>
      </w:rPr>
    </w:lvl>
    <w:lvl w:ilvl="6" w:tplc="080A0001" w:tentative="1">
      <w:start w:val="1"/>
      <w:numFmt w:val="bullet"/>
      <w:lvlText w:val=""/>
      <w:lvlJc w:val="left"/>
      <w:pPr>
        <w:ind w:left="5100" w:hanging="360"/>
      </w:pPr>
      <w:rPr>
        <w:rFonts w:ascii="Symbol" w:hAnsi="Symbol" w:hint="default"/>
      </w:rPr>
    </w:lvl>
    <w:lvl w:ilvl="7" w:tplc="080A0003" w:tentative="1">
      <w:start w:val="1"/>
      <w:numFmt w:val="bullet"/>
      <w:lvlText w:val="o"/>
      <w:lvlJc w:val="left"/>
      <w:pPr>
        <w:ind w:left="5820" w:hanging="360"/>
      </w:pPr>
      <w:rPr>
        <w:rFonts w:ascii="Courier New" w:hAnsi="Courier New" w:cs="Courier New" w:hint="default"/>
      </w:rPr>
    </w:lvl>
    <w:lvl w:ilvl="8" w:tplc="080A0005" w:tentative="1">
      <w:start w:val="1"/>
      <w:numFmt w:val="bullet"/>
      <w:lvlText w:val=""/>
      <w:lvlJc w:val="left"/>
      <w:pPr>
        <w:ind w:left="6540" w:hanging="360"/>
      </w:pPr>
      <w:rPr>
        <w:rFonts w:ascii="Wingdings" w:hAnsi="Wingdings" w:hint="default"/>
      </w:rPr>
    </w:lvl>
  </w:abstractNum>
  <w:abstractNum w:abstractNumId="2">
    <w:nsid w:val="51474B1E"/>
    <w:multiLevelType w:val="hybridMultilevel"/>
    <w:tmpl w:val="54B06A42"/>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nsid w:val="5B5B6D75"/>
    <w:multiLevelType w:val="hybridMultilevel"/>
    <w:tmpl w:val="ED24039C"/>
    <w:lvl w:ilvl="0" w:tplc="080A0001">
      <w:start w:val="1"/>
      <w:numFmt w:val="bullet"/>
      <w:lvlText w:val=""/>
      <w:lvlJc w:val="left"/>
      <w:pPr>
        <w:ind w:left="1500" w:hanging="360"/>
      </w:pPr>
      <w:rPr>
        <w:rFonts w:ascii="Symbol" w:hAnsi="Symbol" w:hint="default"/>
      </w:rPr>
    </w:lvl>
    <w:lvl w:ilvl="1" w:tplc="080A0003" w:tentative="1">
      <w:start w:val="1"/>
      <w:numFmt w:val="bullet"/>
      <w:lvlText w:val="o"/>
      <w:lvlJc w:val="left"/>
      <w:pPr>
        <w:ind w:left="2220" w:hanging="360"/>
      </w:pPr>
      <w:rPr>
        <w:rFonts w:ascii="Courier New" w:hAnsi="Courier New" w:cs="Courier New" w:hint="default"/>
      </w:rPr>
    </w:lvl>
    <w:lvl w:ilvl="2" w:tplc="080A0005" w:tentative="1">
      <w:start w:val="1"/>
      <w:numFmt w:val="bullet"/>
      <w:lvlText w:val=""/>
      <w:lvlJc w:val="left"/>
      <w:pPr>
        <w:ind w:left="2940" w:hanging="360"/>
      </w:pPr>
      <w:rPr>
        <w:rFonts w:ascii="Wingdings" w:hAnsi="Wingdings" w:hint="default"/>
      </w:rPr>
    </w:lvl>
    <w:lvl w:ilvl="3" w:tplc="080A0001" w:tentative="1">
      <w:start w:val="1"/>
      <w:numFmt w:val="bullet"/>
      <w:lvlText w:val=""/>
      <w:lvlJc w:val="left"/>
      <w:pPr>
        <w:ind w:left="3660" w:hanging="360"/>
      </w:pPr>
      <w:rPr>
        <w:rFonts w:ascii="Symbol" w:hAnsi="Symbol" w:hint="default"/>
      </w:rPr>
    </w:lvl>
    <w:lvl w:ilvl="4" w:tplc="080A0003" w:tentative="1">
      <w:start w:val="1"/>
      <w:numFmt w:val="bullet"/>
      <w:lvlText w:val="o"/>
      <w:lvlJc w:val="left"/>
      <w:pPr>
        <w:ind w:left="4380" w:hanging="360"/>
      </w:pPr>
      <w:rPr>
        <w:rFonts w:ascii="Courier New" w:hAnsi="Courier New" w:cs="Courier New" w:hint="default"/>
      </w:rPr>
    </w:lvl>
    <w:lvl w:ilvl="5" w:tplc="080A0005" w:tentative="1">
      <w:start w:val="1"/>
      <w:numFmt w:val="bullet"/>
      <w:lvlText w:val=""/>
      <w:lvlJc w:val="left"/>
      <w:pPr>
        <w:ind w:left="5100" w:hanging="360"/>
      </w:pPr>
      <w:rPr>
        <w:rFonts w:ascii="Wingdings" w:hAnsi="Wingdings" w:hint="default"/>
      </w:rPr>
    </w:lvl>
    <w:lvl w:ilvl="6" w:tplc="080A0001" w:tentative="1">
      <w:start w:val="1"/>
      <w:numFmt w:val="bullet"/>
      <w:lvlText w:val=""/>
      <w:lvlJc w:val="left"/>
      <w:pPr>
        <w:ind w:left="5820" w:hanging="360"/>
      </w:pPr>
      <w:rPr>
        <w:rFonts w:ascii="Symbol" w:hAnsi="Symbol" w:hint="default"/>
      </w:rPr>
    </w:lvl>
    <w:lvl w:ilvl="7" w:tplc="080A0003" w:tentative="1">
      <w:start w:val="1"/>
      <w:numFmt w:val="bullet"/>
      <w:lvlText w:val="o"/>
      <w:lvlJc w:val="left"/>
      <w:pPr>
        <w:ind w:left="6540" w:hanging="360"/>
      </w:pPr>
      <w:rPr>
        <w:rFonts w:ascii="Courier New" w:hAnsi="Courier New" w:cs="Courier New" w:hint="default"/>
      </w:rPr>
    </w:lvl>
    <w:lvl w:ilvl="8" w:tplc="080A0005" w:tentative="1">
      <w:start w:val="1"/>
      <w:numFmt w:val="bullet"/>
      <w:lvlText w:val=""/>
      <w:lvlJc w:val="left"/>
      <w:pPr>
        <w:ind w:left="7260" w:hanging="360"/>
      </w:pPr>
      <w:rPr>
        <w:rFonts w:ascii="Wingdings" w:hAnsi="Wingdings" w:hint="default"/>
      </w:rPr>
    </w:lvl>
  </w:abstractNum>
  <w:num w:numId="1">
    <w:abstractNumId w:val="2"/>
  </w:num>
  <w:num w:numId="2">
    <w:abstractNumId w:val="1"/>
  </w:num>
  <w:num w:numId="3">
    <w:abstractNumId w:val="1"/>
  </w:num>
  <w:num w:numId="4">
    <w:abstractNumId w:val="3"/>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72BB"/>
    <w:rsid w:val="00005FB0"/>
    <w:rsid w:val="00007029"/>
    <w:rsid w:val="00036F98"/>
    <w:rsid w:val="000420E4"/>
    <w:rsid w:val="00056B4F"/>
    <w:rsid w:val="00080641"/>
    <w:rsid w:val="00090820"/>
    <w:rsid w:val="00096E34"/>
    <w:rsid w:val="000A1C72"/>
    <w:rsid w:val="000A77C7"/>
    <w:rsid w:val="000C276F"/>
    <w:rsid w:val="000C59B7"/>
    <w:rsid w:val="000D006A"/>
    <w:rsid w:val="000D365F"/>
    <w:rsid w:val="000D3BE6"/>
    <w:rsid w:val="000D3CB9"/>
    <w:rsid w:val="000E0BE8"/>
    <w:rsid w:val="000E4E47"/>
    <w:rsid w:val="000F2132"/>
    <w:rsid w:val="00107DD3"/>
    <w:rsid w:val="00112C8A"/>
    <w:rsid w:val="001167F3"/>
    <w:rsid w:val="00121F0B"/>
    <w:rsid w:val="00125C6B"/>
    <w:rsid w:val="00126ABD"/>
    <w:rsid w:val="0012745D"/>
    <w:rsid w:val="00131CEB"/>
    <w:rsid w:val="00132483"/>
    <w:rsid w:val="001415EC"/>
    <w:rsid w:val="00142AE5"/>
    <w:rsid w:val="001526D4"/>
    <w:rsid w:val="00156E3D"/>
    <w:rsid w:val="00163A02"/>
    <w:rsid w:val="00164840"/>
    <w:rsid w:val="001828F2"/>
    <w:rsid w:val="001856F5"/>
    <w:rsid w:val="00190374"/>
    <w:rsid w:val="001B44AC"/>
    <w:rsid w:val="001D2CFB"/>
    <w:rsid w:val="001D6765"/>
    <w:rsid w:val="001F0E4F"/>
    <w:rsid w:val="001F7A05"/>
    <w:rsid w:val="00212A79"/>
    <w:rsid w:val="00214F66"/>
    <w:rsid w:val="002155C8"/>
    <w:rsid w:val="00217739"/>
    <w:rsid w:val="00217BF6"/>
    <w:rsid w:val="00220223"/>
    <w:rsid w:val="0022121D"/>
    <w:rsid w:val="0023746C"/>
    <w:rsid w:val="002477FF"/>
    <w:rsid w:val="002603DC"/>
    <w:rsid w:val="00263B2B"/>
    <w:rsid w:val="00264A5C"/>
    <w:rsid w:val="002653E6"/>
    <w:rsid w:val="00267851"/>
    <w:rsid w:val="002721C6"/>
    <w:rsid w:val="00281751"/>
    <w:rsid w:val="00284222"/>
    <w:rsid w:val="00285C93"/>
    <w:rsid w:val="002A17DE"/>
    <w:rsid w:val="002B4236"/>
    <w:rsid w:val="002C3A7E"/>
    <w:rsid w:val="002D225B"/>
    <w:rsid w:val="002D3287"/>
    <w:rsid w:val="002D7989"/>
    <w:rsid w:val="002E3571"/>
    <w:rsid w:val="002E4CC8"/>
    <w:rsid w:val="002F0814"/>
    <w:rsid w:val="002F3449"/>
    <w:rsid w:val="002F4C15"/>
    <w:rsid w:val="002F7E0B"/>
    <w:rsid w:val="003208DD"/>
    <w:rsid w:val="00333677"/>
    <w:rsid w:val="00334416"/>
    <w:rsid w:val="00361496"/>
    <w:rsid w:val="0036534B"/>
    <w:rsid w:val="003770E3"/>
    <w:rsid w:val="003771DB"/>
    <w:rsid w:val="00385221"/>
    <w:rsid w:val="00393F06"/>
    <w:rsid w:val="00393FFB"/>
    <w:rsid w:val="003A496B"/>
    <w:rsid w:val="003B6613"/>
    <w:rsid w:val="003C3CFF"/>
    <w:rsid w:val="003C4C01"/>
    <w:rsid w:val="003C5D93"/>
    <w:rsid w:val="003D0ACC"/>
    <w:rsid w:val="003E5CD1"/>
    <w:rsid w:val="003E648E"/>
    <w:rsid w:val="003F64D8"/>
    <w:rsid w:val="00404055"/>
    <w:rsid w:val="00411ED2"/>
    <w:rsid w:val="00414685"/>
    <w:rsid w:val="004245A3"/>
    <w:rsid w:val="004327AD"/>
    <w:rsid w:val="0045372A"/>
    <w:rsid w:val="004554E6"/>
    <w:rsid w:val="00457670"/>
    <w:rsid w:val="004578F5"/>
    <w:rsid w:val="004622A7"/>
    <w:rsid w:val="0046261C"/>
    <w:rsid w:val="00464334"/>
    <w:rsid w:val="0047340E"/>
    <w:rsid w:val="00486C8B"/>
    <w:rsid w:val="00487E95"/>
    <w:rsid w:val="004A30EC"/>
    <w:rsid w:val="004A72BB"/>
    <w:rsid w:val="004B1513"/>
    <w:rsid w:val="004B7B20"/>
    <w:rsid w:val="004C35FC"/>
    <w:rsid w:val="004C6912"/>
    <w:rsid w:val="004D1C99"/>
    <w:rsid w:val="004D223C"/>
    <w:rsid w:val="004D25F0"/>
    <w:rsid w:val="004E171F"/>
    <w:rsid w:val="004E385A"/>
    <w:rsid w:val="004F3943"/>
    <w:rsid w:val="004F58C4"/>
    <w:rsid w:val="00515D23"/>
    <w:rsid w:val="00534CB2"/>
    <w:rsid w:val="00536EB8"/>
    <w:rsid w:val="00546488"/>
    <w:rsid w:val="00563168"/>
    <w:rsid w:val="00566772"/>
    <w:rsid w:val="005910CD"/>
    <w:rsid w:val="005912F5"/>
    <w:rsid w:val="00596C6E"/>
    <w:rsid w:val="005C7060"/>
    <w:rsid w:val="005D5DF8"/>
    <w:rsid w:val="00624715"/>
    <w:rsid w:val="00650357"/>
    <w:rsid w:val="00653285"/>
    <w:rsid w:val="006538AD"/>
    <w:rsid w:val="00671028"/>
    <w:rsid w:val="006729F0"/>
    <w:rsid w:val="00674135"/>
    <w:rsid w:val="0068366B"/>
    <w:rsid w:val="006851BA"/>
    <w:rsid w:val="00694BDB"/>
    <w:rsid w:val="006A04DC"/>
    <w:rsid w:val="006B49CE"/>
    <w:rsid w:val="006B4CB0"/>
    <w:rsid w:val="006B5D93"/>
    <w:rsid w:val="006C04BA"/>
    <w:rsid w:val="006D30D6"/>
    <w:rsid w:val="006D3763"/>
    <w:rsid w:val="006E4032"/>
    <w:rsid w:val="006E76DC"/>
    <w:rsid w:val="006E7D35"/>
    <w:rsid w:val="006F5835"/>
    <w:rsid w:val="00700576"/>
    <w:rsid w:val="00705ABE"/>
    <w:rsid w:val="0071796E"/>
    <w:rsid w:val="007217FA"/>
    <w:rsid w:val="007279EA"/>
    <w:rsid w:val="007316FE"/>
    <w:rsid w:val="00742CC9"/>
    <w:rsid w:val="00752B6A"/>
    <w:rsid w:val="0075391E"/>
    <w:rsid w:val="00782A7B"/>
    <w:rsid w:val="007845EE"/>
    <w:rsid w:val="007851CA"/>
    <w:rsid w:val="00790985"/>
    <w:rsid w:val="007A0E7A"/>
    <w:rsid w:val="007A3A26"/>
    <w:rsid w:val="007A4BBD"/>
    <w:rsid w:val="007B6292"/>
    <w:rsid w:val="007B7319"/>
    <w:rsid w:val="007B75D5"/>
    <w:rsid w:val="007C0036"/>
    <w:rsid w:val="007C022A"/>
    <w:rsid w:val="007C2BCA"/>
    <w:rsid w:val="007C4C34"/>
    <w:rsid w:val="007D78E0"/>
    <w:rsid w:val="007F6345"/>
    <w:rsid w:val="0081569A"/>
    <w:rsid w:val="00826449"/>
    <w:rsid w:val="00833DC1"/>
    <w:rsid w:val="0084698F"/>
    <w:rsid w:val="00855F18"/>
    <w:rsid w:val="00861EE3"/>
    <w:rsid w:val="00871DF1"/>
    <w:rsid w:val="0087714D"/>
    <w:rsid w:val="008776C5"/>
    <w:rsid w:val="008847A4"/>
    <w:rsid w:val="00885562"/>
    <w:rsid w:val="0088674E"/>
    <w:rsid w:val="00887AA4"/>
    <w:rsid w:val="00892536"/>
    <w:rsid w:val="008A0A1A"/>
    <w:rsid w:val="008A51F1"/>
    <w:rsid w:val="008C246C"/>
    <w:rsid w:val="008D17AF"/>
    <w:rsid w:val="008D5490"/>
    <w:rsid w:val="008F67A7"/>
    <w:rsid w:val="008F7294"/>
    <w:rsid w:val="009001D3"/>
    <w:rsid w:val="00901DE5"/>
    <w:rsid w:val="009025F3"/>
    <w:rsid w:val="00905199"/>
    <w:rsid w:val="00924E1F"/>
    <w:rsid w:val="00925147"/>
    <w:rsid w:val="00944CE0"/>
    <w:rsid w:val="009600A9"/>
    <w:rsid w:val="00975887"/>
    <w:rsid w:val="00987684"/>
    <w:rsid w:val="009B454E"/>
    <w:rsid w:val="009D5D94"/>
    <w:rsid w:val="009D75CB"/>
    <w:rsid w:val="00A02A33"/>
    <w:rsid w:val="00A156D8"/>
    <w:rsid w:val="00A34342"/>
    <w:rsid w:val="00A470AD"/>
    <w:rsid w:val="00A5211C"/>
    <w:rsid w:val="00A5346C"/>
    <w:rsid w:val="00A54DB0"/>
    <w:rsid w:val="00A67397"/>
    <w:rsid w:val="00A762CF"/>
    <w:rsid w:val="00A924F6"/>
    <w:rsid w:val="00A93053"/>
    <w:rsid w:val="00AA5519"/>
    <w:rsid w:val="00AA5D75"/>
    <w:rsid w:val="00AA6654"/>
    <w:rsid w:val="00AB2D15"/>
    <w:rsid w:val="00AB341A"/>
    <w:rsid w:val="00AB3E81"/>
    <w:rsid w:val="00AC2962"/>
    <w:rsid w:val="00AD5087"/>
    <w:rsid w:val="00AE0013"/>
    <w:rsid w:val="00AF4B3D"/>
    <w:rsid w:val="00AF4CEA"/>
    <w:rsid w:val="00B03DFB"/>
    <w:rsid w:val="00B04523"/>
    <w:rsid w:val="00B10484"/>
    <w:rsid w:val="00B14CF4"/>
    <w:rsid w:val="00B33F4C"/>
    <w:rsid w:val="00B542FC"/>
    <w:rsid w:val="00B64E0F"/>
    <w:rsid w:val="00B73617"/>
    <w:rsid w:val="00B75A59"/>
    <w:rsid w:val="00B963F7"/>
    <w:rsid w:val="00BB2943"/>
    <w:rsid w:val="00BB2CA0"/>
    <w:rsid w:val="00BB6C11"/>
    <w:rsid w:val="00BC6EC1"/>
    <w:rsid w:val="00BF4036"/>
    <w:rsid w:val="00BF6BB2"/>
    <w:rsid w:val="00C06E27"/>
    <w:rsid w:val="00C13204"/>
    <w:rsid w:val="00C13EB0"/>
    <w:rsid w:val="00C16995"/>
    <w:rsid w:val="00C209F3"/>
    <w:rsid w:val="00C21E4A"/>
    <w:rsid w:val="00C3293B"/>
    <w:rsid w:val="00C339CB"/>
    <w:rsid w:val="00C34B60"/>
    <w:rsid w:val="00C4055E"/>
    <w:rsid w:val="00C41204"/>
    <w:rsid w:val="00C52B8F"/>
    <w:rsid w:val="00C52C96"/>
    <w:rsid w:val="00C55399"/>
    <w:rsid w:val="00C60895"/>
    <w:rsid w:val="00C7394D"/>
    <w:rsid w:val="00C8237C"/>
    <w:rsid w:val="00C9236E"/>
    <w:rsid w:val="00CD4859"/>
    <w:rsid w:val="00CE3BE5"/>
    <w:rsid w:val="00CF062F"/>
    <w:rsid w:val="00CF6832"/>
    <w:rsid w:val="00CF6D68"/>
    <w:rsid w:val="00D14C70"/>
    <w:rsid w:val="00D16A7E"/>
    <w:rsid w:val="00D2666F"/>
    <w:rsid w:val="00D371C0"/>
    <w:rsid w:val="00D40FB2"/>
    <w:rsid w:val="00D4777B"/>
    <w:rsid w:val="00D57AC8"/>
    <w:rsid w:val="00D67CBD"/>
    <w:rsid w:val="00D93A1D"/>
    <w:rsid w:val="00DA263F"/>
    <w:rsid w:val="00DA3DCD"/>
    <w:rsid w:val="00DA699A"/>
    <w:rsid w:val="00DB2B8C"/>
    <w:rsid w:val="00DC2697"/>
    <w:rsid w:val="00DD2733"/>
    <w:rsid w:val="00DD3B69"/>
    <w:rsid w:val="00DF234F"/>
    <w:rsid w:val="00DF2675"/>
    <w:rsid w:val="00DF6180"/>
    <w:rsid w:val="00E15151"/>
    <w:rsid w:val="00E20997"/>
    <w:rsid w:val="00E3066B"/>
    <w:rsid w:val="00E32F86"/>
    <w:rsid w:val="00E41DD6"/>
    <w:rsid w:val="00E4446B"/>
    <w:rsid w:val="00E53ECD"/>
    <w:rsid w:val="00E70322"/>
    <w:rsid w:val="00E72C5F"/>
    <w:rsid w:val="00E74103"/>
    <w:rsid w:val="00E82D7A"/>
    <w:rsid w:val="00E957AF"/>
    <w:rsid w:val="00EA0337"/>
    <w:rsid w:val="00EA037A"/>
    <w:rsid w:val="00EA7571"/>
    <w:rsid w:val="00ED3868"/>
    <w:rsid w:val="00EE3880"/>
    <w:rsid w:val="00EF02E8"/>
    <w:rsid w:val="00F216D2"/>
    <w:rsid w:val="00F30DE9"/>
    <w:rsid w:val="00F31475"/>
    <w:rsid w:val="00F515B9"/>
    <w:rsid w:val="00F56B32"/>
    <w:rsid w:val="00F61197"/>
    <w:rsid w:val="00F62571"/>
    <w:rsid w:val="00F66D61"/>
    <w:rsid w:val="00F671BB"/>
    <w:rsid w:val="00F76072"/>
    <w:rsid w:val="00F80D94"/>
    <w:rsid w:val="00F81ACE"/>
    <w:rsid w:val="00F81ECC"/>
    <w:rsid w:val="00F823C1"/>
    <w:rsid w:val="00FB13F2"/>
    <w:rsid w:val="00FD1339"/>
    <w:rsid w:val="00FD641A"/>
    <w:rsid w:val="00FE25A9"/>
    <w:rsid w:val="00FF3C2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162A54"/>
  <w15:chartTrackingRefBased/>
  <w15:docId w15:val="{01F0D0FE-74F1-4DB5-8832-63F3E9F802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72"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A72BB"/>
    <w:rPr>
      <w:rFonts w:ascii="Times New Roman" w:eastAsia="Times New Roman" w:hAnsi="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nhideWhenUsed/>
    <w:rsid w:val="004A72BB"/>
    <w:pPr>
      <w:tabs>
        <w:tab w:val="center" w:pos="4419"/>
        <w:tab w:val="right" w:pos="8838"/>
      </w:tabs>
    </w:pPr>
  </w:style>
  <w:style w:type="character" w:customStyle="1" w:styleId="EncabezadoCar">
    <w:name w:val="Encabezado Car"/>
    <w:link w:val="Encabezado"/>
    <w:rsid w:val="004A72BB"/>
    <w:rPr>
      <w:rFonts w:ascii="Times New Roman" w:eastAsia="Times New Roman" w:hAnsi="Times New Roman" w:cs="Times New Roman"/>
      <w:sz w:val="24"/>
      <w:szCs w:val="24"/>
      <w:lang w:val="es-ES" w:eastAsia="es-ES"/>
    </w:rPr>
  </w:style>
  <w:style w:type="paragraph" w:styleId="NormalWeb">
    <w:name w:val="Normal (Web)"/>
    <w:basedOn w:val="Normal"/>
    <w:unhideWhenUsed/>
    <w:rsid w:val="003C4C01"/>
    <w:pPr>
      <w:spacing w:before="100" w:beforeAutospacing="1" w:after="100" w:afterAutospacing="1"/>
    </w:pPr>
  </w:style>
  <w:style w:type="paragraph" w:styleId="Prrafodelista">
    <w:name w:val="List Paragraph"/>
    <w:basedOn w:val="Normal"/>
    <w:uiPriority w:val="72"/>
    <w:qFormat/>
    <w:rsid w:val="00D93A1D"/>
    <w:pPr>
      <w:ind w:left="720"/>
      <w:contextualSpacing/>
    </w:pPr>
    <w:rPr>
      <w:rFonts w:ascii="Arial" w:hAnsi="Arial"/>
      <w:szCs w:val="20"/>
      <w:lang w:eastAsia="es-MX"/>
    </w:rPr>
  </w:style>
  <w:style w:type="paragraph" w:styleId="Textodeglobo">
    <w:name w:val="Balloon Text"/>
    <w:basedOn w:val="Normal"/>
    <w:link w:val="TextodegloboCar"/>
    <w:uiPriority w:val="99"/>
    <w:semiHidden/>
    <w:unhideWhenUsed/>
    <w:rsid w:val="00650357"/>
    <w:rPr>
      <w:rFonts w:ascii="Segoe UI" w:hAnsi="Segoe UI" w:cs="Segoe UI"/>
      <w:sz w:val="18"/>
      <w:szCs w:val="18"/>
    </w:rPr>
  </w:style>
  <w:style w:type="character" w:customStyle="1" w:styleId="TextodegloboCar">
    <w:name w:val="Texto de globo Car"/>
    <w:link w:val="Textodeglobo"/>
    <w:uiPriority w:val="99"/>
    <w:semiHidden/>
    <w:rsid w:val="00650357"/>
    <w:rPr>
      <w:rFonts w:ascii="Segoe UI" w:eastAsia="Times New Roman" w:hAnsi="Segoe UI" w:cs="Segoe UI"/>
      <w:sz w:val="18"/>
      <w:szCs w:val="18"/>
      <w:lang w:val="es-ES" w:eastAsia="es-ES"/>
    </w:rPr>
  </w:style>
  <w:style w:type="paragraph" w:styleId="Piedepgina">
    <w:name w:val="footer"/>
    <w:basedOn w:val="Normal"/>
    <w:link w:val="PiedepginaCar"/>
    <w:uiPriority w:val="99"/>
    <w:unhideWhenUsed/>
    <w:rsid w:val="00C13204"/>
    <w:pPr>
      <w:tabs>
        <w:tab w:val="center" w:pos="4419"/>
        <w:tab w:val="right" w:pos="8838"/>
      </w:tabs>
    </w:pPr>
  </w:style>
  <w:style w:type="character" w:customStyle="1" w:styleId="PiedepginaCar">
    <w:name w:val="Pie de página Car"/>
    <w:basedOn w:val="Fuentedeprrafopredeter"/>
    <w:link w:val="Piedepgina"/>
    <w:uiPriority w:val="99"/>
    <w:rsid w:val="00C13204"/>
    <w:rPr>
      <w:rFonts w:ascii="Times New Roman" w:eastAsia="Times New Roman" w:hAnsi="Times New Roman"/>
      <w:sz w:val="24"/>
      <w:szCs w:val="24"/>
      <w:lang w:val="es-ES" w:eastAsia="es-ES"/>
    </w:rPr>
  </w:style>
  <w:style w:type="character" w:styleId="Hipervnculo">
    <w:name w:val="Hyperlink"/>
    <w:basedOn w:val="Fuentedeprrafopredeter"/>
    <w:uiPriority w:val="99"/>
    <w:unhideWhenUsed/>
    <w:rsid w:val="00C7394D"/>
    <w:rPr>
      <w:color w:val="0000FF"/>
      <w:u w:val="single"/>
    </w:rPr>
  </w:style>
  <w:style w:type="paragraph" w:customStyle="1" w:styleId="corte4fondo">
    <w:name w:val="corte4 fondo"/>
    <w:basedOn w:val="Normal"/>
    <w:link w:val="corte4fondoCar1"/>
    <w:qFormat/>
    <w:rsid w:val="00C7394D"/>
    <w:pPr>
      <w:spacing w:line="360" w:lineRule="auto"/>
      <w:ind w:firstLine="709"/>
      <w:jc w:val="both"/>
    </w:pPr>
    <w:rPr>
      <w:rFonts w:ascii="Arial" w:hAnsi="Arial"/>
      <w:sz w:val="30"/>
      <w:szCs w:val="20"/>
      <w:lang w:val="es-MX" w:eastAsia="es-MX"/>
    </w:rPr>
  </w:style>
  <w:style w:type="character" w:customStyle="1" w:styleId="corte4fondoCar1">
    <w:name w:val="corte4 fondo Car1"/>
    <w:link w:val="corte4fondo"/>
    <w:rsid w:val="00C7394D"/>
    <w:rPr>
      <w:rFonts w:ascii="Arial" w:eastAsia="Times New Roman" w:hAnsi="Arial"/>
      <w:sz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286167">
      <w:bodyDiv w:val="1"/>
      <w:marLeft w:val="0"/>
      <w:marRight w:val="0"/>
      <w:marTop w:val="0"/>
      <w:marBottom w:val="0"/>
      <w:divBdr>
        <w:top w:val="none" w:sz="0" w:space="0" w:color="auto"/>
        <w:left w:val="none" w:sz="0" w:space="0" w:color="auto"/>
        <w:bottom w:val="none" w:sz="0" w:space="0" w:color="auto"/>
        <w:right w:val="none" w:sz="0" w:space="0" w:color="auto"/>
      </w:divBdr>
    </w:div>
    <w:div w:id="232666978">
      <w:bodyDiv w:val="1"/>
      <w:marLeft w:val="0"/>
      <w:marRight w:val="0"/>
      <w:marTop w:val="0"/>
      <w:marBottom w:val="0"/>
      <w:divBdr>
        <w:top w:val="none" w:sz="0" w:space="0" w:color="auto"/>
        <w:left w:val="none" w:sz="0" w:space="0" w:color="auto"/>
        <w:bottom w:val="none" w:sz="0" w:space="0" w:color="auto"/>
        <w:right w:val="none" w:sz="0" w:space="0" w:color="auto"/>
      </w:divBdr>
    </w:div>
    <w:div w:id="490563679">
      <w:bodyDiv w:val="1"/>
      <w:marLeft w:val="0"/>
      <w:marRight w:val="0"/>
      <w:marTop w:val="0"/>
      <w:marBottom w:val="0"/>
      <w:divBdr>
        <w:top w:val="none" w:sz="0" w:space="0" w:color="auto"/>
        <w:left w:val="none" w:sz="0" w:space="0" w:color="auto"/>
        <w:bottom w:val="none" w:sz="0" w:space="0" w:color="auto"/>
        <w:right w:val="none" w:sz="0" w:space="0" w:color="auto"/>
      </w:divBdr>
    </w:div>
    <w:div w:id="750007320">
      <w:bodyDiv w:val="1"/>
      <w:marLeft w:val="0"/>
      <w:marRight w:val="0"/>
      <w:marTop w:val="0"/>
      <w:marBottom w:val="0"/>
      <w:divBdr>
        <w:top w:val="none" w:sz="0" w:space="0" w:color="auto"/>
        <w:left w:val="none" w:sz="0" w:space="0" w:color="auto"/>
        <w:bottom w:val="none" w:sz="0" w:space="0" w:color="auto"/>
        <w:right w:val="none" w:sz="0" w:space="0" w:color="auto"/>
      </w:divBdr>
    </w:div>
    <w:div w:id="831331084">
      <w:bodyDiv w:val="1"/>
      <w:marLeft w:val="0"/>
      <w:marRight w:val="0"/>
      <w:marTop w:val="0"/>
      <w:marBottom w:val="0"/>
      <w:divBdr>
        <w:top w:val="none" w:sz="0" w:space="0" w:color="auto"/>
        <w:left w:val="none" w:sz="0" w:space="0" w:color="auto"/>
        <w:bottom w:val="none" w:sz="0" w:space="0" w:color="auto"/>
        <w:right w:val="none" w:sz="0" w:space="0" w:color="auto"/>
      </w:divBdr>
    </w:div>
    <w:div w:id="850685879">
      <w:bodyDiv w:val="1"/>
      <w:marLeft w:val="0"/>
      <w:marRight w:val="0"/>
      <w:marTop w:val="0"/>
      <w:marBottom w:val="0"/>
      <w:divBdr>
        <w:top w:val="none" w:sz="0" w:space="0" w:color="auto"/>
        <w:left w:val="none" w:sz="0" w:space="0" w:color="auto"/>
        <w:bottom w:val="none" w:sz="0" w:space="0" w:color="auto"/>
        <w:right w:val="none" w:sz="0" w:space="0" w:color="auto"/>
      </w:divBdr>
    </w:div>
    <w:div w:id="1133526075">
      <w:bodyDiv w:val="1"/>
      <w:marLeft w:val="0"/>
      <w:marRight w:val="0"/>
      <w:marTop w:val="0"/>
      <w:marBottom w:val="0"/>
      <w:divBdr>
        <w:top w:val="none" w:sz="0" w:space="0" w:color="auto"/>
        <w:left w:val="none" w:sz="0" w:space="0" w:color="auto"/>
        <w:bottom w:val="none" w:sz="0" w:space="0" w:color="auto"/>
        <w:right w:val="none" w:sz="0" w:space="0" w:color="auto"/>
      </w:divBdr>
    </w:div>
    <w:div w:id="15477208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0E50236-EEBA-4DFE-BAF3-DCC15657A9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895</Words>
  <Characters>4924</Characters>
  <Application>Microsoft Office Word</Application>
  <DocSecurity>0</DocSecurity>
  <Lines>41</Lines>
  <Paragraphs>11</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5808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dc:creator>
  <cp:keywords/>
  <cp:lastModifiedBy>Maria Jose Chavez Medina</cp:lastModifiedBy>
  <cp:revision>2</cp:revision>
  <cp:lastPrinted>2019-01-22T20:22:00Z</cp:lastPrinted>
  <dcterms:created xsi:type="dcterms:W3CDTF">2019-02-08T22:56:00Z</dcterms:created>
  <dcterms:modified xsi:type="dcterms:W3CDTF">2019-02-08T22:56:00Z</dcterms:modified>
</cp:coreProperties>
</file>