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0FB3" w:rsidRDefault="003E0FB3"/>
    <w:p w:rsidR="00C5691D" w:rsidRDefault="00A66778">
      <w:r>
        <w:rPr>
          <w:noProof/>
          <w:lang w:val="es-MX" w:eastAsia="es-MX"/>
        </w:rPr>
        <w:drawing>
          <wp:inline distT="0" distB="0" distL="0" distR="0">
            <wp:extent cx="2804845" cy="1293431"/>
            <wp:effectExtent l="0" t="0" r="0" b="0"/>
            <wp:docPr id="1" name="Imagen 1" descr="C:\Users\ROBERTO TREVIÑO\Desktop\IMAGENES\LogoTEJ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OBERTO TREVIÑO\Desktop\IMAGENES\LogoTEJA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5653" cy="12938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47A0" w:rsidRPr="00BB65F2" w:rsidRDefault="00BB65F2" w:rsidP="00BB65F2">
      <w:pPr>
        <w:jc w:val="center"/>
        <w:rPr>
          <w:b/>
          <w:sz w:val="48"/>
          <w:szCs w:val="48"/>
        </w:rPr>
      </w:pPr>
      <w:r w:rsidRPr="00BB65F2">
        <w:rPr>
          <w:b/>
          <w:sz w:val="48"/>
          <w:szCs w:val="48"/>
        </w:rPr>
        <w:t>NOTA</w:t>
      </w:r>
    </w:p>
    <w:p w:rsidR="0002469A" w:rsidRDefault="0002469A">
      <w:pPr>
        <w:rPr>
          <w:sz w:val="40"/>
          <w:szCs w:val="40"/>
        </w:rPr>
      </w:pPr>
    </w:p>
    <w:p w:rsidR="00BB65F2" w:rsidRPr="00545517" w:rsidRDefault="000D7591">
      <w:pPr>
        <w:rPr>
          <w:rFonts w:ascii="Arial" w:hAnsi="Arial" w:cs="Arial"/>
          <w:b/>
          <w:sz w:val="20"/>
          <w:szCs w:val="20"/>
        </w:rPr>
      </w:pPr>
      <w:r w:rsidRPr="00545517">
        <w:rPr>
          <w:rFonts w:ascii="Arial" w:hAnsi="Arial" w:cs="Arial"/>
          <w:b/>
          <w:sz w:val="20"/>
          <w:szCs w:val="20"/>
        </w:rPr>
        <w:t>Hipervínculo a la convocatoria o invitaciones emitidas</w:t>
      </w:r>
    </w:p>
    <w:p w:rsidR="000D7591" w:rsidRPr="00545517" w:rsidRDefault="000D7591">
      <w:pPr>
        <w:rPr>
          <w:rFonts w:ascii="Arial" w:hAnsi="Arial" w:cs="Arial"/>
          <w:b/>
          <w:sz w:val="20"/>
          <w:szCs w:val="20"/>
        </w:rPr>
      </w:pPr>
      <w:r w:rsidRPr="00545517">
        <w:rPr>
          <w:rFonts w:ascii="Arial" w:hAnsi="Arial" w:cs="Arial"/>
          <w:b/>
          <w:sz w:val="20"/>
          <w:szCs w:val="20"/>
        </w:rPr>
        <w:t>Hipervínculo al fallo de la junta de aclaraciones o al documento correspondiente</w:t>
      </w:r>
    </w:p>
    <w:p w:rsidR="000D7591" w:rsidRPr="00545517" w:rsidRDefault="000D7591">
      <w:pPr>
        <w:rPr>
          <w:rFonts w:ascii="Arial" w:hAnsi="Arial" w:cs="Arial"/>
          <w:b/>
          <w:sz w:val="20"/>
          <w:szCs w:val="20"/>
        </w:rPr>
      </w:pPr>
      <w:r w:rsidRPr="00545517">
        <w:rPr>
          <w:rFonts w:ascii="Arial" w:hAnsi="Arial" w:cs="Arial"/>
          <w:b/>
          <w:sz w:val="20"/>
          <w:szCs w:val="20"/>
        </w:rPr>
        <w:t>Hipervínculo al (los) dictámenes, en su caso</w:t>
      </w:r>
    </w:p>
    <w:p w:rsidR="000D7591" w:rsidRPr="00545517" w:rsidRDefault="000D7591">
      <w:pPr>
        <w:rPr>
          <w:rFonts w:ascii="Arial" w:hAnsi="Arial" w:cs="Arial"/>
          <w:b/>
          <w:sz w:val="20"/>
          <w:szCs w:val="20"/>
        </w:rPr>
      </w:pPr>
      <w:r w:rsidRPr="00545517">
        <w:rPr>
          <w:rFonts w:ascii="Arial" w:hAnsi="Arial" w:cs="Arial"/>
          <w:b/>
          <w:sz w:val="20"/>
          <w:szCs w:val="20"/>
        </w:rPr>
        <w:t>Hipervínculo al documento del contrato y anexos, en versión pública, en su caso</w:t>
      </w:r>
    </w:p>
    <w:p w:rsidR="000D7591" w:rsidRPr="00545517" w:rsidRDefault="000D7591">
      <w:pPr>
        <w:rPr>
          <w:rFonts w:ascii="Arial" w:hAnsi="Arial" w:cs="Arial"/>
          <w:b/>
          <w:sz w:val="20"/>
          <w:szCs w:val="20"/>
        </w:rPr>
      </w:pPr>
      <w:r w:rsidRPr="00545517">
        <w:rPr>
          <w:rFonts w:ascii="Arial" w:hAnsi="Arial" w:cs="Arial"/>
          <w:b/>
          <w:sz w:val="20"/>
          <w:szCs w:val="20"/>
        </w:rPr>
        <w:t>Hipervínculo al comunicado de suspensión, en su caso</w:t>
      </w:r>
    </w:p>
    <w:p w:rsidR="00545517" w:rsidRPr="00545517" w:rsidRDefault="00545517" w:rsidP="00545517">
      <w:pPr>
        <w:rPr>
          <w:rFonts w:ascii="Arial" w:hAnsi="Arial" w:cs="Arial"/>
          <w:b/>
          <w:sz w:val="20"/>
          <w:szCs w:val="20"/>
        </w:rPr>
      </w:pPr>
      <w:r w:rsidRPr="00545517">
        <w:rPr>
          <w:rFonts w:ascii="Arial" w:hAnsi="Arial" w:cs="Arial"/>
          <w:b/>
          <w:sz w:val="20"/>
          <w:szCs w:val="20"/>
        </w:rPr>
        <w:t>Hipervínculo a los estudios de impacto urbano y ambiental, en su caso</w:t>
      </w:r>
    </w:p>
    <w:p w:rsidR="000D7591" w:rsidRPr="00545517" w:rsidRDefault="00545517">
      <w:pPr>
        <w:rPr>
          <w:rFonts w:ascii="Arial" w:hAnsi="Arial" w:cs="Arial"/>
          <w:b/>
          <w:sz w:val="20"/>
          <w:szCs w:val="20"/>
          <w:lang w:val="es-MX"/>
        </w:rPr>
      </w:pPr>
      <w:r w:rsidRPr="00545517">
        <w:rPr>
          <w:rFonts w:ascii="Arial" w:hAnsi="Arial" w:cs="Arial"/>
          <w:b/>
          <w:sz w:val="20"/>
          <w:szCs w:val="20"/>
          <w:lang w:val="es-MX"/>
        </w:rPr>
        <w:t>Hipervínculo a informes de avances físicos, en su caso</w:t>
      </w:r>
    </w:p>
    <w:p w:rsidR="00545517" w:rsidRPr="00545517" w:rsidRDefault="00545517" w:rsidP="00545517">
      <w:pPr>
        <w:spacing w:line="240" w:lineRule="auto"/>
        <w:rPr>
          <w:rFonts w:ascii="Arial" w:eastAsia="Times New Roman" w:hAnsi="Arial" w:cs="Arial"/>
          <w:b/>
          <w:color w:val="000000"/>
          <w:sz w:val="20"/>
          <w:szCs w:val="20"/>
          <w:lang w:val="es-MX" w:eastAsia="es-MX"/>
        </w:rPr>
      </w:pPr>
      <w:r w:rsidRPr="00545517">
        <w:rPr>
          <w:rFonts w:ascii="Arial" w:eastAsia="Times New Roman" w:hAnsi="Arial" w:cs="Arial"/>
          <w:b/>
          <w:color w:val="000000"/>
          <w:sz w:val="20"/>
          <w:szCs w:val="20"/>
          <w:lang w:val="es-MX" w:eastAsia="es-MX"/>
        </w:rPr>
        <w:t>Hipervínculo a los informes de avance financiero, en su caso</w:t>
      </w:r>
    </w:p>
    <w:p w:rsidR="00545517" w:rsidRPr="00545517" w:rsidRDefault="00545517" w:rsidP="00545517">
      <w:pPr>
        <w:spacing w:line="240" w:lineRule="auto"/>
        <w:rPr>
          <w:rFonts w:ascii="Arial" w:eastAsia="Times New Roman" w:hAnsi="Arial" w:cs="Arial"/>
          <w:b/>
          <w:color w:val="000000"/>
          <w:sz w:val="20"/>
          <w:szCs w:val="20"/>
          <w:lang w:val="es-MX" w:eastAsia="es-MX"/>
        </w:rPr>
      </w:pPr>
      <w:r w:rsidRPr="00545517">
        <w:rPr>
          <w:rFonts w:ascii="Arial" w:eastAsia="Times New Roman" w:hAnsi="Arial" w:cs="Arial"/>
          <w:b/>
          <w:color w:val="000000"/>
          <w:sz w:val="20"/>
          <w:szCs w:val="20"/>
          <w:lang w:val="es-MX" w:eastAsia="es-MX"/>
        </w:rPr>
        <w:t xml:space="preserve">Hipervínculo al acta de recepción física de los trabajos ejecutados </w:t>
      </w:r>
      <w:proofErr w:type="spellStart"/>
      <w:r w:rsidRPr="00545517">
        <w:rPr>
          <w:rFonts w:ascii="Arial" w:eastAsia="Times New Roman" w:hAnsi="Arial" w:cs="Arial"/>
          <w:b/>
          <w:color w:val="000000"/>
          <w:sz w:val="20"/>
          <w:szCs w:val="20"/>
          <w:lang w:val="es-MX" w:eastAsia="es-MX"/>
        </w:rPr>
        <w:t>u</w:t>
      </w:r>
      <w:proofErr w:type="spellEnd"/>
      <w:r w:rsidRPr="00545517">
        <w:rPr>
          <w:rFonts w:ascii="Arial" w:eastAsia="Times New Roman" w:hAnsi="Arial" w:cs="Arial"/>
          <w:b/>
          <w:color w:val="000000"/>
          <w:sz w:val="20"/>
          <w:szCs w:val="20"/>
          <w:lang w:val="es-MX" w:eastAsia="es-MX"/>
        </w:rPr>
        <w:t xml:space="preserve"> homóloga, en su caso</w:t>
      </w:r>
    </w:p>
    <w:p w:rsidR="00545517" w:rsidRPr="00545517" w:rsidRDefault="00545517" w:rsidP="00545517">
      <w:pPr>
        <w:spacing w:line="240" w:lineRule="auto"/>
        <w:rPr>
          <w:rFonts w:ascii="Arial" w:eastAsia="Times New Roman" w:hAnsi="Arial" w:cs="Arial"/>
          <w:b/>
          <w:color w:val="000000"/>
          <w:sz w:val="20"/>
          <w:szCs w:val="20"/>
          <w:lang w:val="es-MX" w:eastAsia="es-MX"/>
        </w:rPr>
      </w:pPr>
      <w:r w:rsidRPr="00545517">
        <w:rPr>
          <w:rFonts w:ascii="Arial" w:eastAsia="Times New Roman" w:hAnsi="Arial" w:cs="Arial"/>
          <w:b/>
          <w:color w:val="000000"/>
          <w:sz w:val="20"/>
          <w:szCs w:val="20"/>
          <w:lang w:val="es-MX" w:eastAsia="es-MX"/>
        </w:rPr>
        <w:t xml:space="preserve">Hipervínculo al finiquito, en su  caso </w:t>
      </w:r>
    </w:p>
    <w:p w:rsidR="00545517" w:rsidRPr="00545517" w:rsidRDefault="00545517">
      <w:pPr>
        <w:rPr>
          <w:sz w:val="40"/>
          <w:szCs w:val="40"/>
          <w:lang w:val="es-MX"/>
        </w:rPr>
      </w:pPr>
    </w:p>
    <w:p w:rsidR="0002469A" w:rsidRPr="00BB65F2" w:rsidRDefault="00545517" w:rsidP="00545517">
      <w:pPr>
        <w:spacing w:line="240" w:lineRule="auto"/>
        <w:rPr>
          <w:sz w:val="40"/>
          <w:szCs w:val="40"/>
          <w:lang w:val="es-MX"/>
        </w:rPr>
      </w:pPr>
      <w:r>
        <w:rPr>
          <w:rFonts w:ascii="Calibri" w:eastAsia="Times New Roman" w:hAnsi="Calibri" w:cs="Times New Roman"/>
          <w:color w:val="000000"/>
          <w:sz w:val="40"/>
          <w:szCs w:val="40"/>
          <w:lang w:val="es-MX" w:eastAsia="es-MX"/>
        </w:rPr>
        <w:t xml:space="preserve">Durante el periodo que se reporta no se generaron </w:t>
      </w:r>
      <w:r w:rsidR="00DF546D">
        <w:rPr>
          <w:rFonts w:ascii="Calibri" w:eastAsia="Times New Roman" w:hAnsi="Calibri" w:cs="Times New Roman"/>
          <w:color w:val="000000"/>
          <w:sz w:val="40"/>
          <w:szCs w:val="40"/>
          <w:lang w:val="es-MX" w:eastAsia="es-MX"/>
        </w:rPr>
        <w:t>Adquisiciones</w:t>
      </w:r>
      <w:r>
        <w:rPr>
          <w:rFonts w:ascii="Calibri" w:eastAsia="Times New Roman" w:hAnsi="Calibri" w:cs="Times New Roman"/>
          <w:color w:val="000000"/>
          <w:sz w:val="40"/>
          <w:szCs w:val="40"/>
          <w:lang w:val="es-MX" w:eastAsia="es-MX"/>
        </w:rPr>
        <w:t xml:space="preserve"> o </w:t>
      </w:r>
      <w:r w:rsidR="00DF546D">
        <w:rPr>
          <w:rFonts w:ascii="Calibri" w:eastAsia="Times New Roman" w:hAnsi="Calibri" w:cs="Times New Roman"/>
          <w:color w:val="000000"/>
          <w:sz w:val="40"/>
          <w:szCs w:val="40"/>
          <w:lang w:val="es-MX" w:eastAsia="es-MX"/>
        </w:rPr>
        <w:t>Licitaciones</w:t>
      </w:r>
      <w:r>
        <w:rPr>
          <w:rFonts w:ascii="Calibri" w:eastAsia="Times New Roman" w:hAnsi="Calibri" w:cs="Times New Roman"/>
          <w:color w:val="000000"/>
          <w:sz w:val="40"/>
          <w:szCs w:val="40"/>
          <w:lang w:val="es-MX" w:eastAsia="es-MX"/>
        </w:rPr>
        <w:t xml:space="preserve"> Públicas ya que las </w:t>
      </w:r>
      <w:r w:rsidR="00103FB8">
        <w:rPr>
          <w:rFonts w:ascii="Calibri" w:eastAsia="Times New Roman" w:hAnsi="Calibri" w:cs="Times New Roman"/>
          <w:color w:val="000000"/>
          <w:sz w:val="40"/>
          <w:szCs w:val="40"/>
          <w:lang w:val="es-MX" w:eastAsia="es-MX"/>
        </w:rPr>
        <w:t>adquisiciones</w:t>
      </w:r>
      <w:r>
        <w:rPr>
          <w:rFonts w:ascii="Calibri" w:eastAsia="Times New Roman" w:hAnsi="Calibri" w:cs="Times New Roman"/>
          <w:color w:val="000000"/>
          <w:sz w:val="40"/>
          <w:szCs w:val="40"/>
          <w:lang w:val="es-MX" w:eastAsia="es-MX"/>
        </w:rPr>
        <w:t xml:space="preserve"> efectuadas</w:t>
      </w:r>
      <w:r w:rsidR="00103FB8">
        <w:rPr>
          <w:rFonts w:ascii="Calibri" w:eastAsia="Times New Roman" w:hAnsi="Calibri" w:cs="Times New Roman"/>
          <w:color w:val="000000"/>
          <w:sz w:val="40"/>
          <w:szCs w:val="40"/>
          <w:lang w:val="es-MX" w:eastAsia="es-MX"/>
        </w:rPr>
        <w:t xml:space="preserve"> no rebasaron el monto </w:t>
      </w:r>
      <w:r>
        <w:rPr>
          <w:rFonts w:ascii="Calibri" w:eastAsia="Times New Roman" w:hAnsi="Calibri" w:cs="Times New Roman"/>
          <w:color w:val="000000"/>
          <w:sz w:val="40"/>
          <w:szCs w:val="40"/>
          <w:lang w:val="es-MX" w:eastAsia="es-MX"/>
        </w:rPr>
        <w:t xml:space="preserve">  establecido en </w:t>
      </w:r>
      <w:r w:rsidR="00DF546D">
        <w:rPr>
          <w:rFonts w:ascii="Calibri" w:eastAsia="Times New Roman" w:hAnsi="Calibri" w:cs="Times New Roman"/>
          <w:color w:val="000000"/>
          <w:sz w:val="40"/>
          <w:szCs w:val="40"/>
          <w:lang w:val="es-MX" w:eastAsia="es-MX"/>
        </w:rPr>
        <w:t xml:space="preserve">decreto 0771 publicado en el POE el 21 de Diciembre de 2017 el cual establece los montos para  </w:t>
      </w:r>
      <w:r w:rsidR="00DF546D" w:rsidRPr="00DF546D">
        <w:rPr>
          <w:rFonts w:ascii="Calibri" w:eastAsia="Times New Roman" w:hAnsi="Calibri" w:cs="Times New Roman"/>
          <w:color w:val="000000"/>
          <w:sz w:val="40"/>
          <w:szCs w:val="40"/>
          <w:lang w:val="es-MX" w:eastAsia="es-MX"/>
        </w:rPr>
        <w:t>las adquisiciones, arrendamientos y servicios</w:t>
      </w:r>
      <w:r w:rsidR="00DF546D">
        <w:rPr>
          <w:rFonts w:ascii="Calibri" w:eastAsia="Times New Roman" w:hAnsi="Calibri" w:cs="Times New Roman"/>
          <w:color w:val="000000"/>
          <w:sz w:val="40"/>
          <w:szCs w:val="40"/>
          <w:lang w:val="es-MX" w:eastAsia="es-MX"/>
        </w:rPr>
        <w:t xml:space="preserve"> que regirán</w:t>
      </w:r>
      <w:bookmarkStart w:id="0" w:name="_GoBack"/>
      <w:bookmarkEnd w:id="0"/>
      <w:r w:rsidR="00DF546D">
        <w:rPr>
          <w:rFonts w:ascii="Calibri" w:eastAsia="Times New Roman" w:hAnsi="Calibri" w:cs="Times New Roman"/>
          <w:color w:val="000000"/>
          <w:sz w:val="40"/>
          <w:szCs w:val="40"/>
          <w:lang w:val="es-MX" w:eastAsia="es-MX"/>
        </w:rPr>
        <w:t xml:space="preserve"> en el ejercicio fiscal 2018 de conformidad a</w:t>
      </w:r>
      <w:r>
        <w:rPr>
          <w:rFonts w:ascii="Calibri" w:eastAsia="Times New Roman" w:hAnsi="Calibri" w:cs="Times New Roman"/>
          <w:color w:val="000000"/>
          <w:sz w:val="40"/>
          <w:szCs w:val="40"/>
          <w:lang w:val="es-MX" w:eastAsia="es-MX"/>
        </w:rPr>
        <w:t xml:space="preserve">l </w:t>
      </w:r>
      <w:r w:rsidR="00DF546D">
        <w:rPr>
          <w:rFonts w:ascii="Calibri" w:eastAsia="Times New Roman" w:hAnsi="Calibri" w:cs="Times New Roman"/>
          <w:color w:val="000000"/>
          <w:sz w:val="40"/>
          <w:szCs w:val="40"/>
          <w:lang w:val="es-MX" w:eastAsia="es-MX"/>
        </w:rPr>
        <w:t>artículo</w:t>
      </w:r>
      <w:r>
        <w:rPr>
          <w:rFonts w:ascii="Calibri" w:eastAsia="Times New Roman" w:hAnsi="Calibri" w:cs="Times New Roman"/>
          <w:color w:val="000000"/>
          <w:sz w:val="40"/>
          <w:szCs w:val="40"/>
          <w:lang w:val="es-MX" w:eastAsia="es-MX"/>
        </w:rPr>
        <w:t xml:space="preserve"> </w:t>
      </w:r>
      <w:r w:rsidR="00DF546D">
        <w:rPr>
          <w:rFonts w:ascii="Calibri" w:eastAsia="Times New Roman" w:hAnsi="Calibri" w:cs="Times New Roman"/>
          <w:color w:val="000000"/>
          <w:sz w:val="40"/>
          <w:szCs w:val="40"/>
          <w:lang w:val="es-MX" w:eastAsia="es-MX"/>
        </w:rPr>
        <w:t>23</w:t>
      </w:r>
      <w:r>
        <w:rPr>
          <w:rFonts w:ascii="Calibri" w:eastAsia="Times New Roman" w:hAnsi="Calibri" w:cs="Times New Roman"/>
          <w:color w:val="000000"/>
          <w:sz w:val="40"/>
          <w:szCs w:val="40"/>
          <w:lang w:val="es-MX" w:eastAsia="es-MX"/>
        </w:rPr>
        <w:t xml:space="preserve"> de la Ley de Adquisiciones </w:t>
      </w:r>
      <w:r w:rsidR="00DF546D">
        <w:rPr>
          <w:rFonts w:ascii="Calibri" w:eastAsia="Times New Roman" w:hAnsi="Calibri" w:cs="Times New Roman"/>
          <w:color w:val="000000"/>
          <w:sz w:val="40"/>
          <w:szCs w:val="40"/>
          <w:lang w:val="es-MX" w:eastAsia="es-MX"/>
        </w:rPr>
        <w:t>del Estado de San Luis Potosí.</w:t>
      </w:r>
    </w:p>
    <w:sectPr w:rsidR="0002469A" w:rsidRPr="00BB65F2" w:rsidSect="00C5691D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65F2" w:rsidRDefault="00BB65F2" w:rsidP="00BB65F2">
      <w:pPr>
        <w:spacing w:line="240" w:lineRule="auto"/>
      </w:pPr>
      <w:r>
        <w:separator/>
      </w:r>
    </w:p>
  </w:endnote>
  <w:endnote w:type="continuationSeparator" w:id="0">
    <w:p w:rsidR="00BB65F2" w:rsidRDefault="00BB65F2" w:rsidP="00BB65F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65F2" w:rsidRDefault="00BB65F2" w:rsidP="00BB65F2">
      <w:pPr>
        <w:spacing w:line="240" w:lineRule="auto"/>
      </w:pPr>
      <w:r>
        <w:separator/>
      </w:r>
    </w:p>
  </w:footnote>
  <w:footnote w:type="continuationSeparator" w:id="0">
    <w:p w:rsidR="00BB65F2" w:rsidRDefault="00BB65F2" w:rsidP="00BB65F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5691D"/>
    <w:rsid w:val="0002469A"/>
    <w:rsid w:val="000330A3"/>
    <w:rsid w:val="00042424"/>
    <w:rsid w:val="000747A0"/>
    <w:rsid w:val="000C557C"/>
    <w:rsid w:val="000D487B"/>
    <w:rsid w:val="000D7591"/>
    <w:rsid w:val="00103FB8"/>
    <w:rsid w:val="00155FB5"/>
    <w:rsid w:val="00201A77"/>
    <w:rsid w:val="00291177"/>
    <w:rsid w:val="002A3FFA"/>
    <w:rsid w:val="002B420D"/>
    <w:rsid w:val="002E1529"/>
    <w:rsid w:val="002E641A"/>
    <w:rsid w:val="0030491A"/>
    <w:rsid w:val="00316213"/>
    <w:rsid w:val="003B0766"/>
    <w:rsid w:val="003E03BB"/>
    <w:rsid w:val="003E0FB3"/>
    <w:rsid w:val="00416F28"/>
    <w:rsid w:val="004E7286"/>
    <w:rsid w:val="00545517"/>
    <w:rsid w:val="005E24C5"/>
    <w:rsid w:val="0064284F"/>
    <w:rsid w:val="00646743"/>
    <w:rsid w:val="006A6C49"/>
    <w:rsid w:val="006D6473"/>
    <w:rsid w:val="006E1D86"/>
    <w:rsid w:val="0070449B"/>
    <w:rsid w:val="00725D66"/>
    <w:rsid w:val="007A1F5C"/>
    <w:rsid w:val="007C673F"/>
    <w:rsid w:val="007D6177"/>
    <w:rsid w:val="00810815"/>
    <w:rsid w:val="00815229"/>
    <w:rsid w:val="00857438"/>
    <w:rsid w:val="00884F79"/>
    <w:rsid w:val="008C5DF0"/>
    <w:rsid w:val="008E0665"/>
    <w:rsid w:val="008F1872"/>
    <w:rsid w:val="009971CC"/>
    <w:rsid w:val="009E415A"/>
    <w:rsid w:val="00A04065"/>
    <w:rsid w:val="00A66778"/>
    <w:rsid w:val="00B227A0"/>
    <w:rsid w:val="00BB65F2"/>
    <w:rsid w:val="00C24EE7"/>
    <w:rsid w:val="00C5691D"/>
    <w:rsid w:val="00D35AA9"/>
    <w:rsid w:val="00DE4F36"/>
    <w:rsid w:val="00DF546D"/>
    <w:rsid w:val="00F32520"/>
    <w:rsid w:val="00F7267D"/>
    <w:rsid w:val="00FA6F4D"/>
    <w:rsid w:val="00FB3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168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0FB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5691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5691D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C5691D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8C5DF0"/>
    <w:rPr>
      <w:color w:val="800080" w:themeColor="followed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BB65F2"/>
    <w:pPr>
      <w:spacing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BB65F2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BB65F2"/>
    <w:rPr>
      <w:vertAlign w:val="superscript"/>
    </w:rPr>
  </w:style>
  <w:style w:type="character" w:customStyle="1" w:styleId="ilfuvd">
    <w:name w:val="ilfuvd"/>
    <w:basedOn w:val="Fuentedeprrafopredeter"/>
    <w:rsid w:val="009971C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46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93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9C5D42-4B60-457E-B311-676E484F74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341</TotalTime>
  <Pages>1</Pages>
  <Words>165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ServSocP1</dc:creator>
  <cp:lastModifiedBy>ROBERTO TREVIÑO</cp:lastModifiedBy>
  <cp:revision>25</cp:revision>
  <cp:lastPrinted>2018-07-17T21:22:00Z</cp:lastPrinted>
  <dcterms:created xsi:type="dcterms:W3CDTF">2017-09-12T15:55:00Z</dcterms:created>
  <dcterms:modified xsi:type="dcterms:W3CDTF">2019-02-13T19:59:00Z</dcterms:modified>
</cp:coreProperties>
</file>